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ED" w:rsidRDefault="006842ED">
      <w:pPr>
        <w:pStyle w:val="Brevdata"/>
        <w:framePr w:wrap="around" w:y="4254"/>
        <w:rPr>
          <w:kern w:val="24"/>
        </w:rPr>
      </w:pPr>
      <w:bookmarkStart w:id="0" w:name="BrevData5"/>
      <w:bookmarkStart w:id="1" w:name="Afkryds"/>
      <w:bookmarkEnd w:id="0"/>
      <w:bookmarkEnd w:id="1"/>
      <w:r>
        <w:t xml:space="preserve"> </w:t>
      </w:r>
      <w:r w:rsidR="00283134">
        <w:t>0</w:t>
      </w:r>
      <w:r w:rsidR="001A7F5F">
        <w:t>5</w:t>
      </w:r>
      <w:r w:rsidR="00283134">
        <w:t>-1</w:t>
      </w:r>
      <w:r w:rsidR="001A7F5F">
        <w:t>2</w:t>
      </w:r>
      <w:r w:rsidR="00283134">
        <w:t>-2016</w:t>
      </w:r>
    </w:p>
    <w:p w:rsidR="006842ED" w:rsidRDefault="006842ED">
      <w:pPr>
        <w:pStyle w:val="Brevdata"/>
        <w:framePr w:wrap="around" w:y="4254"/>
        <w:rPr>
          <w:kern w:val="24"/>
        </w:rPr>
      </w:pPr>
      <w:bookmarkStart w:id="2" w:name="BrevData2"/>
      <w:bookmarkEnd w:id="2"/>
      <w:r>
        <w:t xml:space="preserve"> Sag nr. </w:t>
      </w:r>
      <w:r w:rsidR="00283134">
        <w:t>16/1146</w:t>
      </w:r>
    </w:p>
    <w:p w:rsidR="004115BC" w:rsidRPr="00795C77" w:rsidRDefault="006842ED" w:rsidP="004115BC">
      <w:pPr>
        <w:pStyle w:val="Brevdata"/>
        <w:framePr w:wrap="around" w:y="4254"/>
        <w:rPr>
          <w:kern w:val="24"/>
        </w:rPr>
      </w:pPr>
      <w:r>
        <w:t xml:space="preserve"> </w:t>
      </w:r>
    </w:p>
    <w:p w:rsidR="006842ED" w:rsidRPr="00795C77" w:rsidRDefault="006842ED">
      <w:pPr>
        <w:pStyle w:val="Brevdata"/>
        <w:framePr w:wrap="around" w:y="4254"/>
        <w:rPr>
          <w:kern w:val="24"/>
        </w:rPr>
      </w:pPr>
    </w:p>
    <w:p w:rsidR="006842ED" w:rsidRPr="00795C77" w:rsidRDefault="006842ED">
      <w:pPr>
        <w:pStyle w:val="Afkrydsning"/>
        <w:framePr w:w="2438" w:hRule="auto" w:wrap="around" w:x="9357" w:y="4254"/>
        <w:rPr>
          <w:kern w:val="24"/>
        </w:rPr>
      </w:pPr>
    </w:p>
    <w:p w:rsidR="006842ED" w:rsidRPr="00795C77" w:rsidRDefault="006842ED">
      <w:pPr>
        <w:pStyle w:val="Brevdata"/>
        <w:framePr w:wrap="around" w:y="4254"/>
        <w:rPr>
          <w:kern w:val="24"/>
        </w:rPr>
      </w:pPr>
    </w:p>
    <w:p w:rsidR="006842ED" w:rsidRPr="00795C77" w:rsidRDefault="006842ED" w:rsidP="00BB0343">
      <w:pPr>
        <w:framePr w:w="4820" w:h="3175" w:hSpace="142" w:wrap="notBeside" w:vAnchor="page" w:hAnchor="page" w:x="1515" w:y="2165" w:anchorLock="1"/>
        <w:rPr>
          <w:kern w:val="24"/>
        </w:rPr>
      </w:pPr>
      <w:bookmarkStart w:id="3" w:name="Til"/>
      <w:bookmarkEnd w:id="3"/>
    </w:p>
    <w:p w:rsidR="006842ED" w:rsidRPr="00795C77" w:rsidRDefault="006842ED" w:rsidP="00BB0343">
      <w:pPr>
        <w:framePr w:w="4820" w:h="3175" w:hSpace="142" w:wrap="notBeside" w:vAnchor="page" w:hAnchor="page" w:x="1515" w:y="2165" w:anchorLock="1"/>
        <w:rPr>
          <w:kern w:val="24"/>
        </w:rPr>
      </w:pPr>
    </w:p>
    <w:p w:rsidR="006842ED" w:rsidRPr="00795C77" w:rsidRDefault="006842ED" w:rsidP="00BB0343">
      <w:pPr>
        <w:framePr w:w="4820" w:h="3175" w:hSpace="142" w:wrap="notBeside" w:vAnchor="page" w:hAnchor="page" w:x="1515" w:y="2165" w:anchorLock="1"/>
        <w:ind w:left="851" w:hanging="851"/>
        <w:rPr>
          <w:kern w:val="24"/>
        </w:rPr>
      </w:pPr>
      <w:bookmarkStart w:id="4" w:name="Gpt"/>
      <w:bookmarkEnd w:id="4"/>
    </w:p>
    <w:p w:rsidR="006842ED" w:rsidRPr="004115BC" w:rsidRDefault="004115BC">
      <w:pPr>
        <w:pStyle w:val="Vedr"/>
      </w:pPr>
      <w:bookmarkStart w:id="5" w:name="Vedr"/>
      <w:bookmarkEnd w:id="5"/>
      <w:r w:rsidRPr="004115BC">
        <w:t xml:space="preserve">Bemærkninger til indkomne høringssvar over Medicinrådets faglige metoder </w:t>
      </w:r>
      <w:bookmarkStart w:id="6" w:name="_GoBack"/>
      <w:bookmarkEnd w:id="6"/>
      <w:r w:rsidRPr="004115BC">
        <w:t>og Amgros omkostningsanalyse</w:t>
      </w:r>
    </w:p>
    <w:p w:rsidR="006842ED" w:rsidRDefault="006842ED">
      <w:pPr>
        <w:rPr>
          <w:kern w:val="24"/>
        </w:rPr>
      </w:pPr>
    </w:p>
    <w:p w:rsidR="005A79E4" w:rsidRPr="006A6A46" w:rsidRDefault="005A79E4" w:rsidP="005A79E4">
      <w:pPr>
        <w:rPr>
          <w:b/>
          <w:kern w:val="24"/>
        </w:rPr>
      </w:pPr>
      <w:r w:rsidRPr="006A6A46">
        <w:rPr>
          <w:b/>
          <w:kern w:val="24"/>
        </w:rPr>
        <w:t>Baggrund</w:t>
      </w:r>
    </w:p>
    <w:p w:rsidR="005A79E4" w:rsidRDefault="005A79E4" w:rsidP="005A79E4">
      <w:pPr>
        <w:rPr>
          <w:kern w:val="24"/>
        </w:rPr>
      </w:pPr>
      <w:r>
        <w:rPr>
          <w:kern w:val="24"/>
        </w:rPr>
        <w:t>Som opfølgning på Danske Regioners beslutning om at nedsætte Medici</w:t>
      </w:r>
      <w:r>
        <w:rPr>
          <w:kern w:val="24"/>
        </w:rPr>
        <w:t>n</w:t>
      </w:r>
      <w:r>
        <w:rPr>
          <w:kern w:val="24"/>
        </w:rPr>
        <w:t xml:space="preserve">rådet fremsendte Danske Regioner den 6. oktober 2016 høring over: </w:t>
      </w:r>
    </w:p>
    <w:p w:rsidR="005A79E4" w:rsidRDefault="005A79E4" w:rsidP="005A79E4">
      <w:pPr>
        <w:rPr>
          <w:kern w:val="24"/>
        </w:rPr>
      </w:pPr>
    </w:p>
    <w:p w:rsidR="005A79E4" w:rsidRPr="009D09B7" w:rsidRDefault="005A79E4" w:rsidP="005A79E4">
      <w:pPr>
        <w:numPr>
          <w:ilvl w:val="0"/>
          <w:numId w:val="10"/>
        </w:numPr>
        <w:rPr>
          <w:kern w:val="24"/>
        </w:rPr>
      </w:pPr>
      <w:r w:rsidRPr="009D09B7">
        <w:rPr>
          <w:kern w:val="24"/>
        </w:rPr>
        <w:t>Forslag til metodehåndbog for udarbejdelse af fælles regionale vurderinger af nye lægemidlers og nye indikationers kliniske me</w:t>
      </w:r>
      <w:r w:rsidRPr="009D09B7">
        <w:rPr>
          <w:kern w:val="24"/>
        </w:rPr>
        <w:t>r</w:t>
      </w:r>
      <w:r w:rsidRPr="009D09B7">
        <w:rPr>
          <w:kern w:val="24"/>
        </w:rPr>
        <w:t>værdi</w:t>
      </w:r>
    </w:p>
    <w:p w:rsidR="005A79E4" w:rsidRPr="00CC5643" w:rsidRDefault="005A79E4" w:rsidP="005A79E4">
      <w:pPr>
        <w:numPr>
          <w:ilvl w:val="0"/>
          <w:numId w:val="10"/>
        </w:numPr>
        <w:rPr>
          <w:kern w:val="24"/>
        </w:rPr>
      </w:pPr>
      <w:r w:rsidRPr="00F00BF9">
        <w:rPr>
          <w:kern w:val="24"/>
        </w:rPr>
        <w:t>Forslag til metodehåndbog for udarbejdelse af fælles regionale b</w:t>
      </w:r>
      <w:r w:rsidRPr="00F00BF9">
        <w:rPr>
          <w:kern w:val="24"/>
        </w:rPr>
        <w:t>e</w:t>
      </w:r>
      <w:r w:rsidRPr="00F00BF9">
        <w:rPr>
          <w:kern w:val="24"/>
        </w:rPr>
        <w:t>handlingsvejledninger for terapiområder</w:t>
      </w:r>
    </w:p>
    <w:p w:rsidR="005A79E4" w:rsidRPr="00F00BF9" w:rsidRDefault="005A79E4" w:rsidP="005A79E4">
      <w:pPr>
        <w:numPr>
          <w:ilvl w:val="0"/>
          <w:numId w:val="10"/>
        </w:numPr>
        <w:rPr>
          <w:kern w:val="24"/>
        </w:rPr>
      </w:pPr>
      <w:r w:rsidRPr="00F00BF9">
        <w:rPr>
          <w:kern w:val="24"/>
        </w:rPr>
        <w:t>Metodevejledning for Amgros omkostningsanalyser af nye læg</w:t>
      </w:r>
      <w:r w:rsidRPr="00F00BF9">
        <w:rPr>
          <w:kern w:val="24"/>
        </w:rPr>
        <w:t>e</w:t>
      </w:r>
      <w:r w:rsidRPr="00F00BF9">
        <w:rPr>
          <w:kern w:val="24"/>
        </w:rPr>
        <w:t>midler og indikationer i hospitalssektoren</w:t>
      </w:r>
    </w:p>
    <w:p w:rsidR="005A79E4" w:rsidRDefault="005A79E4" w:rsidP="005A79E4">
      <w:pPr>
        <w:ind w:left="720"/>
        <w:rPr>
          <w:kern w:val="24"/>
        </w:rPr>
      </w:pPr>
    </w:p>
    <w:p w:rsidR="005A79E4" w:rsidRDefault="005A79E4" w:rsidP="005A79E4">
      <w:pPr>
        <w:rPr>
          <w:kern w:val="24"/>
        </w:rPr>
      </w:pPr>
      <w:r>
        <w:rPr>
          <w:kern w:val="24"/>
        </w:rPr>
        <w:t>Danske Regioner har i forbindelse med høringen modtaget 16 høringssvar, hvoraf en række af de hovedpunkter, som har været rejst i høringssvarene kommenteres nedenfor. Kommentarerne er samlet under følgende hove</w:t>
      </w:r>
      <w:r>
        <w:rPr>
          <w:kern w:val="24"/>
        </w:rPr>
        <w:t>d</w:t>
      </w:r>
      <w:r>
        <w:rPr>
          <w:kern w:val="24"/>
        </w:rPr>
        <w:t>emner.</w:t>
      </w:r>
    </w:p>
    <w:p w:rsidR="005A79E4" w:rsidRDefault="005A79E4" w:rsidP="005A79E4">
      <w:pPr>
        <w:rPr>
          <w:kern w:val="24"/>
        </w:rPr>
      </w:pPr>
    </w:p>
    <w:p w:rsidR="005A79E4" w:rsidRDefault="005A79E4" w:rsidP="005A79E4">
      <w:pPr>
        <w:numPr>
          <w:ilvl w:val="0"/>
          <w:numId w:val="10"/>
        </w:numPr>
        <w:rPr>
          <w:kern w:val="24"/>
        </w:rPr>
      </w:pPr>
      <w:r>
        <w:rPr>
          <w:kern w:val="24"/>
        </w:rPr>
        <w:t>Generelle bemærkninger</w:t>
      </w:r>
    </w:p>
    <w:p w:rsidR="005A79E4" w:rsidRDefault="005A79E4" w:rsidP="005A79E4">
      <w:pPr>
        <w:numPr>
          <w:ilvl w:val="0"/>
          <w:numId w:val="10"/>
        </w:numPr>
        <w:rPr>
          <w:kern w:val="24"/>
        </w:rPr>
      </w:pPr>
      <w:r>
        <w:rPr>
          <w:kern w:val="24"/>
        </w:rPr>
        <w:t>Overordnet struktur</w:t>
      </w:r>
    </w:p>
    <w:p w:rsidR="005A79E4" w:rsidRDefault="005A79E4" w:rsidP="005A79E4">
      <w:pPr>
        <w:numPr>
          <w:ilvl w:val="0"/>
          <w:numId w:val="10"/>
        </w:numPr>
        <w:rPr>
          <w:kern w:val="24"/>
        </w:rPr>
      </w:pPr>
      <w:r>
        <w:rPr>
          <w:kern w:val="24"/>
        </w:rPr>
        <w:t>Medicinrådets lægefaglige metoder</w:t>
      </w:r>
    </w:p>
    <w:p w:rsidR="005A79E4" w:rsidRDefault="005A79E4" w:rsidP="005A79E4">
      <w:pPr>
        <w:numPr>
          <w:ilvl w:val="0"/>
          <w:numId w:val="10"/>
        </w:numPr>
        <w:rPr>
          <w:kern w:val="24"/>
        </w:rPr>
      </w:pPr>
      <w:r>
        <w:rPr>
          <w:kern w:val="24"/>
        </w:rPr>
        <w:t>Amgros omkostningsanalyse</w:t>
      </w:r>
    </w:p>
    <w:p w:rsidR="005A79E4" w:rsidRDefault="005A79E4" w:rsidP="005A79E4">
      <w:pPr>
        <w:rPr>
          <w:kern w:val="24"/>
        </w:rPr>
      </w:pPr>
    </w:p>
    <w:p w:rsidR="005A79E4" w:rsidRDefault="005A79E4" w:rsidP="005A79E4">
      <w:pPr>
        <w:rPr>
          <w:kern w:val="24"/>
        </w:rPr>
      </w:pPr>
      <w:r>
        <w:rPr>
          <w:kern w:val="24"/>
        </w:rPr>
        <w:t xml:space="preserve">Danske Regioner </w:t>
      </w:r>
      <w:r w:rsidR="009F6435">
        <w:rPr>
          <w:kern w:val="24"/>
        </w:rPr>
        <w:t>er</w:t>
      </w:r>
      <w:r>
        <w:rPr>
          <w:kern w:val="24"/>
        </w:rPr>
        <w:t xml:space="preserve"> </w:t>
      </w:r>
      <w:r w:rsidR="00A11ED9">
        <w:rPr>
          <w:kern w:val="24"/>
        </w:rPr>
        <w:t>opmærksomme</w:t>
      </w:r>
      <w:r>
        <w:rPr>
          <w:kern w:val="24"/>
        </w:rPr>
        <w:t xml:space="preserve"> på, at der i høringssvarene - udover de i dette notat kommentere hovedpunkter </w:t>
      </w:r>
      <w:r w:rsidR="009F6435">
        <w:rPr>
          <w:kern w:val="24"/>
        </w:rPr>
        <w:t>–</w:t>
      </w:r>
      <w:r>
        <w:rPr>
          <w:kern w:val="24"/>
        </w:rPr>
        <w:t xml:space="preserve"> </w:t>
      </w:r>
      <w:r w:rsidR="009F6435">
        <w:rPr>
          <w:kern w:val="24"/>
        </w:rPr>
        <w:t xml:space="preserve">bl.a. </w:t>
      </w:r>
      <w:r>
        <w:rPr>
          <w:kern w:val="24"/>
        </w:rPr>
        <w:t xml:space="preserve">er fremsendt </w:t>
      </w:r>
      <w:r w:rsidR="00A11ED9">
        <w:rPr>
          <w:kern w:val="24"/>
        </w:rPr>
        <w:t>flere konkrete</w:t>
      </w:r>
      <w:r>
        <w:rPr>
          <w:kern w:val="24"/>
        </w:rPr>
        <w:t xml:space="preserve"> kommentarer til metodehåndbøgerne. Disse kommentarer er ikke komme</w:t>
      </w:r>
      <w:r>
        <w:rPr>
          <w:kern w:val="24"/>
        </w:rPr>
        <w:t>n</w:t>
      </w:r>
      <w:r>
        <w:rPr>
          <w:kern w:val="24"/>
        </w:rPr>
        <w:t xml:space="preserve">teret her, men de </w:t>
      </w:r>
      <w:r w:rsidR="009F6435">
        <w:rPr>
          <w:kern w:val="24"/>
        </w:rPr>
        <w:t xml:space="preserve">indgår </w:t>
      </w:r>
      <w:r>
        <w:rPr>
          <w:kern w:val="24"/>
        </w:rPr>
        <w:t xml:space="preserve">i det videre arbejde med at revidere metoderne. De reviderede forslag til metodehåndbøger </w:t>
      </w:r>
      <w:r w:rsidR="009F6435">
        <w:rPr>
          <w:kern w:val="24"/>
        </w:rPr>
        <w:t xml:space="preserve">skal drøftes </w:t>
      </w:r>
      <w:r>
        <w:rPr>
          <w:kern w:val="24"/>
        </w:rPr>
        <w:t>i Danske Regioners b</w:t>
      </w:r>
      <w:r>
        <w:rPr>
          <w:kern w:val="24"/>
        </w:rPr>
        <w:t>e</w:t>
      </w:r>
      <w:r>
        <w:rPr>
          <w:kern w:val="24"/>
        </w:rPr>
        <w:t>styrelse den 15. december 2016. Det skal endvidere bemærkes, at der i h</w:t>
      </w:r>
      <w:r>
        <w:rPr>
          <w:kern w:val="24"/>
        </w:rPr>
        <w:t>ø</w:t>
      </w:r>
      <w:r>
        <w:rPr>
          <w:kern w:val="24"/>
        </w:rPr>
        <w:t xml:space="preserve">ringssvarene er fremsendt konkrete forslag vedrørende en række praktiske </w:t>
      </w:r>
      <w:r>
        <w:rPr>
          <w:kern w:val="24"/>
        </w:rPr>
        <w:lastRenderedPageBreak/>
        <w:t>forhold fx aflønning af læger</w:t>
      </w:r>
      <w:r w:rsidR="009F6435">
        <w:rPr>
          <w:kern w:val="24"/>
        </w:rPr>
        <w:t xml:space="preserve"> og </w:t>
      </w:r>
      <w:r>
        <w:rPr>
          <w:kern w:val="24"/>
        </w:rPr>
        <w:t>patienter. Medicinrådet vil se nærmere på forslagene umiddelbart efter oprettelsen 1. januar 201</w:t>
      </w:r>
      <w:r w:rsidR="00A56DD0">
        <w:rPr>
          <w:kern w:val="24"/>
        </w:rPr>
        <w:t>7</w:t>
      </w:r>
      <w:r>
        <w:rPr>
          <w:kern w:val="24"/>
        </w:rPr>
        <w:t xml:space="preserve">.  </w:t>
      </w:r>
    </w:p>
    <w:p w:rsidR="005A79E4" w:rsidRDefault="005A79E4" w:rsidP="005A79E4">
      <w:pPr>
        <w:rPr>
          <w:kern w:val="24"/>
        </w:rPr>
      </w:pPr>
    </w:p>
    <w:p w:rsidR="005A79E4" w:rsidRPr="00DA5128" w:rsidRDefault="005A79E4" w:rsidP="005A79E4">
      <w:pPr>
        <w:rPr>
          <w:b/>
          <w:kern w:val="24"/>
          <w:u w:val="single"/>
        </w:rPr>
      </w:pPr>
      <w:r>
        <w:rPr>
          <w:b/>
          <w:kern w:val="24"/>
          <w:u w:val="single"/>
        </w:rPr>
        <w:t>1. G</w:t>
      </w:r>
      <w:r w:rsidRPr="00DA5128">
        <w:rPr>
          <w:b/>
          <w:kern w:val="24"/>
          <w:u w:val="single"/>
        </w:rPr>
        <w:t>enerelle bemærkninger</w:t>
      </w:r>
    </w:p>
    <w:p w:rsidR="005A79E4" w:rsidRDefault="005A79E4" w:rsidP="005A79E4">
      <w:pPr>
        <w:rPr>
          <w:kern w:val="24"/>
        </w:rPr>
      </w:pPr>
    </w:p>
    <w:p w:rsidR="005A79E4" w:rsidRPr="004115BC" w:rsidRDefault="005A79E4" w:rsidP="005A79E4">
      <w:pPr>
        <w:rPr>
          <w:b/>
          <w:kern w:val="24"/>
        </w:rPr>
      </w:pPr>
      <w:r w:rsidRPr="004115BC">
        <w:rPr>
          <w:b/>
          <w:kern w:val="24"/>
        </w:rPr>
        <w:t>Behandlingsråd fremfor Medicinråd</w:t>
      </w:r>
    </w:p>
    <w:p w:rsidR="005A79E4" w:rsidRDefault="005A79E4" w:rsidP="005A79E4">
      <w:pPr>
        <w:rPr>
          <w:kern w:val="24"/>
        </w:rPr>
      </w:pPr>
      <w:r w:rsidRPr="004115BC">
        <w:rPr>
          <w:kern w:val="24"/>
        </w:rPr>
        <w:t xml:space="preserve">Dansk Selskab for Almen Medicin har spurgt til, om Medicinrådet burde se på andre behandlingsformer end blot medicinske behandlinger. </w:t>
      </w:r>
    </w:p>
    <w:p w:rsidR="005A79E4" w:rsidRPr="004115BC" w:rsidRDefault="005A79E4" w:rsidP="005A79E4">
      <w:pPr>
        <w:rPr>
          <w:kern w:val="24"/>
        </w:rPr>
      </w:pPr>
    </w:p>
    <w:p w:rsidR="005A79E4" w:rsidRDefault="005A79E4" w:rsidP="005A79E4">
      <w:pPr>
        <w:rPr>
          <w:kern w:val="24"/>
        </w:rPr>
      </w:pPr>
      <w:r w:rsidRPr="004115BC">
        <w:rPr>
          <w:kern w:val="24"/>
        </w:rPr>
        <w:t>Det er Danske Regioners hensigt, når man har opnået de første erfaringer med Medicinrådet at se på, om modellen kan anvendes på andre områder end medicin, fx medicinsk udstyr, screeninger og/eller ikke-medicinsk b</w:t>
      </w:r>
      <w:r w:rsidRPr="004115BC">
        <w:rPr>
          <w:kern w:val="24"/>
        </w:rPr>
        <w:t>e</w:t>
      </w:r>
      <w:r w:rsidRPr="004115BC">
        <w:rPr>
          <w:kern w:val="24"/>
        </w:rPr>
        <w:t xml:space="preserve">handling. </w:t>
      </w:r>
    </w:p>
    <w:p w:rsidR="005A79E4" w:rsidRPr="004115BC" w:rsidRDefault="005A79E4" w:rsidP="005A79E4">
      <w:pPr>
        <w:rPr>
          <w:b/>
          <w:kern w:val="24"/>
        </w:rPr>
      </w:pPr>
    </w:p>
    <w:p w:rsidR="005A79E4" w:rsidRPr="004115BC" w:rsidRDefault="005A79E4" w:rsidP="005A79E4">
      <w:pPr>
        <w:rPr>
          <w:b/>
          <w:kern w:val="24"/>
        </w:rPr>
      </w:pPr>
      <w:r w:rsidRPr="004115BC">
        <w:rPr>
          <w:b/>
          <w:kern w:val="24"/>
        </w:rPr>
        <w:t>Anvendelse af patientrapporterede outcome-data (PRO)</w:t>
      </w:r>
    </w:p>
    <w:p w:rsidR="005A79E4" w:rsidRDefault="005A79E4" w:rsidP="005A79E4">
      <w:pPr>
        <w:rPr>
          <w:kern w:val="24"/>
        </w:rPr>
      </w:pPr>
      <w:r w:rsidRPr="004115BC">
        <w:rPr>
          <w:kern w:val="24"/>
        </w:rPr>
        <w:t>Lægevidenskabelige Selskaber, Danske Patienter og FNUG (Foreningen af unge med gigt, Foreningen for rygsøjlegigt Morbus Bechterew og Patien</w:t>
      </w:r>
      <w:r w:rsidRPr="004115BC">
        <w:rPr>
          <w:kern w:val="24"/>
        </w:rPr>
        <w:t>t</w:t>
      </w:r>
      <w:r w:rsidRPr="004115BC">
        <w:rPr>
          <w:kern w:val="24"/>
        </w:rPr>
        <w:t>foreningen HS Danmark) har bedt om, at man overvejer, at PRO-data (pat</w:t>
      </w:r>
      <w:r w:rsidRPr="004115BC">
        <w:rPr>
          <w:kern w:val="24"/>
        </w:rPr>
        <w:t>i</w:t>
      </w:r>
      <w:r w:rsidRPr="004115BC">
        <w:rPr>
          <w:kern w:val="24"/>
        </w:rPr>
        <w:t>entrapporterede outcome-data) i så vidt muligt omfang kan indgå i vurd</w:t>
      </w:r>
      <w:r w:rsidRPr="004115BC">
        <w:rPr>
          <w:kern w:val="24"/>
        </w:rPr>
        <w:t>e</w:t>
      </w:r>
      <w:r w:rsidRPr="004115BC">
        <w:rPr>
          <w:kern w:val="24"/>
        </w:rPr>
        <w:t>ringen af de enkelte effektmål.</w:t>
      </w:r>
    </w:p>
    <w:p w:rsidR="005A79E4" w:rsidRPr="004115BC" w:rsidRDefault="005A79E4" w:rsidP="005A79E4">
      <w:pPr>
        <w:rPr>
          <w:kern w:val="24"/>
        </w:rPr>
      </w:pPr>
    </w:p>
    <w:p w:rsidR="005A79E4" w:rsidRPr="004115BC" w:rsidRDefault="005A79E4" w:rsidP="005A79E4">
      <w:pPr>
        <w:rPr>
          <w:kern w:val="24"/>
        </w:rPr>
      </w:pPr>
      <w:r>
        <w:rPr>
          <w:kern w:val="24"/>
        </w:rPr>
        <w:t xml:space="preserve">Medicinrådet </w:t>
      </w:r>
      <w:r w:rsidRPr="004115BC">
        <w:rPr>
          <w:kern w:val="24"/>
        </w:rPr>
        <w:t xml:space="preserve">vil </w:t>
      </w:r>
      <w:r>
        <w:rPr>
          <w:kern w:val="24"/>
        </w:rPr>
        <w:t xml:space="preserve">anvende livskvalitetsdata i </w:t>
      </w:r>
      <w:r w:rsidRPr="004115BC">
        <w:rPr>
          <w:kern w:val="24"/>
        </w:rPr>
        <w:t xml:space="preserve">vurdering af </w:t>
      </w:r>
      <w:r>
        <w:rPr>
          <w:kern w:val="24"/>
        </w:rPr>
        <w:t xml:space="preserve">nye </w:t>
      </w:r>
      <w:r w:rsidRPr="004115BC">
        <w:rPr>
          <w:kern w:val="24"/>
        </w:rPr>
        <w:t>lægemidler</w:t>
      </w:r>
      <w:r>
        <w:rPr>
          <w:kern w:val="24"/>
        </w:rPr>
        <w:t>.</w:t>
      </w:r>
      <w:r w:rsidRPr="004115BC">
        <w:rPr>
          <w:kern w:val="24"/>
        </w:rPr>
        <w:t xml:space="preserve"> Livskvalitet vil derfor indgå i merværdiskategoriseringen på samme vis som øvrige effektmål</w:t>
      </w:r>
      <w:r>
        <w:rPr>
          <w:kern w:val="24"/>
        </w:rPr>
        <w:t>. Dermed vægtes livskvalitet ind i vurderingen</w:t>
      </w:r>
      <w:r w:rsidRPr="004115BC">
        <w:rPr>
          <w:kern w:val="24"/>
        </w:rPr>
        <w:t>, hvor det er relevant</w:t>
      </w:r>
      <w:r>
        <w:rPr>
          <w:kern w:val="24"/>
        </w:rPr>
        <w:t xml:space="preserve">. Det betyder, som for de øvrige effektmål, at </w:t>
      </w:r>
      <w:r w:rsidRPr="004115BC">
        <w:rPr>
          <w:kern w:val="24"/>
        </w:rPr>
        <w:t>den relative e</w:t>
      </w:r>
      <w:r w:rsidRPr="004115BC">
        <w:rPr>
          <w:kern w:val="24"/>
        </w:rPr>
        <w:t>f</w:t>
      </w:r>
      <w:r w:rsidRPr="004115BC">
        <w:rPr>
          <w:kern w:val="24"/>
        </w:rPr>
        <w:t xml:space="preserve">fekt, den absolutte effekt og </w:t>
      </w:r>
      <w:r>
        <w:rPr>
          <w:kern w:val="24"/>
        </w:rPr>
        <w:t xml:space="preserve">at </w:t>
      </w:r>
      <w:r w:rsidRPr="004115BC">
        <w:rPr>
          <w:kern w:val="24"/>
        </w:rPr>
        <w:t xml:space="preserve">evidensen kvalitet vurderes. </w:t>
      </w:r>
    </w:p>
    <w:p w:rsidR="005A79E4" w:rsidRPr="004115BC" w:rsidRDefault="005A79E4" w:rsidP="005A79E4">
      <w:pPr>
        <w:rPr>
          <w:kern w:val="24"/>
        </w:rPr>
      </w:pPr>
    </w:p>
    <w:p w:rsidR="005A79E4" w:rsidRPr="004115BC" w:rsidRDefault="005A79E4" w:rsidP="005A79E4">
      <w:pPr>
        <w:rPr>
          <w:kern w:val="24"/>
        </w:rPr>
      </w:pPr>
      <w:r w:rsidRPr="004115BC">
        <w:rPr>
          <w:kern w:val="24"/>
        </w:rPr>
        <w:t>Data om livkvalitet opfanges ved en række metoder, der indeholder forske</w:t>
      </w:r>
      <w:r w:rsidRPr="004115BC">
        <w:rPr>
          <w:kern w:val="24"/>
        </w:rPr>
        <w:t>l</w:t>
      </w:r>
      <w:r w:rsidRPr="004115BC">
        <w:rPr>
          <w:kern w:val="24"/>
        </w:rPr>
        <w:t>lige dimensioner. Fælles er, at data om livskvalitet er rapporteret direkte af patienter, der har indgået i studieafprøvninger af et lægemiddel</w:t>
      </w:r>
      <w:r>
        <w:rPr>
          <w:kern w:val="24"/>
        </w:rPr>
        <w:t>, hvorfor livskvalitetsdata er patientrapporterede outcomes.</w:t>
      </w:r>
      <w:r w:rsidRPr="004115BC">
        <w:rPr>
          <w:kern w:val="24"/>
        </w:rPr>
        <w:t xml:space="preserve"> </w:t>
      </w:r>
      <w:r>
        <w:rPr>
          <w:kern w:val="24"/>
        </w:rPr>
        <w:t>Livskvalitetsdata</w:t>
      </w:r>
      <w:r w:rsidRPr="004115BC">
        <w:rPr>
          <w:kern w:val="24"/>
        </w:rPr>
        <w:t xml:space="preserve"> er u</w:t>
      </w:r>
      <w:r w:rsidRPr="004115BC">
        <w:rPr>
          <w:kern w:val="24"/>
        </w:rPr>
        <w:t>d</w:t>
      </w:r>
      <w:r w:rsidRPr="004115BC">
        <w:rPr>
          <w:kern w:val="24"/>
        </w:rPr>
        <w:t xml:space="preserve">tryk for patienters oplevelser af for eksempel bivirkningsrelaterede effekter, funktionsevne under behandlingen, smerteoplevelser, mentale påvirkninger osv. </w:t>
      </w:r>
      <w:r w:rsidR="001F02D5">
        <w:rPr>
          <w:kern w:val="24"/>
        </w:rPr>
        <w:t xml:space="preserve">Det vil komme til at fremgå mere klart af de reviderede </w:t>
      </w:r>
      <w:r w:rsidRPr="004115BC">
        <w:rPr>
          <w:kern w:val="24"/>
        </w:rPr>
        <w:t>metodehån</w:t>
      </w:r>
      <w:r w:rsidRPr="004115BC">
        <w:rPr>
          <w:kern w:val="24"/>
        </w:rPr>
        <w:t>d</w:t>
      </w:r>
      <w:r w:rsidRPr="004115BC">
        <w:rPr>
          <w:kern w:val="24"/>
        </w:rPr>
        <w:t>bøger.</w:t>
      </w:r>
    </w:p>
    <w:p w:rsidR="005A79E4" w:rsidRPr="004115BC" w:rsidRDefault="005A79E4" w:rsidP="005A79E4">
      <w:pPr>
        <w:rPr>
          <w:kern w:val="24"/>
        </w:rPr>
      </w:pPr>
    </w:p>
    <w:p w:rsidR="005A79E4" w:rsidRPr="004115BC" w:rsidRDefault="005A79E4" w:rsidP="005A79E4">
      <w:pPr>
        <w:rPr>
          <w:b/>
          <w:kern w:val="24"/>
        </w:rPr>
      </w:pPr>
      <w:r w:rsidRPr="004115BC">
        <w:rPr>
          <w:b/>
          <w:kern w:val="24"/>
        </w:rPr>
        <w:t>Folketingets syv principper for prioritering af sygehuslægemidler</w:t>
      </w:r>
    </w:p>
    <w:p w:rsidR="005A79E4" w:rsidRDefault="005A79E4" w:rsidP="005A79E4">
      <w:pPr>
        <w:rPr>
          <w:kern w:val="24"/>
        </w:rPr>
      </w:pPr>
      <w:r w:rsidRPr="004115BC">
        <w:rPr>
          <w:kern w:val="24"/>
        </w:rPr>
        <w:t>Amgen og Lægemiddelindustriforeningen har i deres høringssvar påpeget, at det bør fremgå af metoderne, at Medicinrådet arbejder efter Folketingets syv principper for prioritering</w:t>
      </w:r>
      <w:r>
        <w:rPr>
          <w:kern w:val="24"/>
        </w:rPr>
        <w:t xml:space="preserve"> for prioritering af lægemidler</w:t>
      </w:r>
      <w:r w:rsidRPr="004115BC">
        <w:rPr>
          <w:kern w:val="24"/>
        </w:rPr>
        <w:t xml:space="preserve">. </w:t>
      </w:r>
    </w:p>
    <w:p w:rsidR="005A79E4" w:rsidRDefault="005A79E4" w:rsidP="005A79E4">
      <w:pPr>
        <w:rPr>
          <w:kern w:val="24"/>
        </w:rPr>
      </w:pPr>
    </w:p>
    <w:p w:rsidR="005A79E4" w:rsidRPr="004115BC" w:rsidRDefault="005A79E4" w:rsidP="005A79E4">
      <w:pPr>
        <w:rPr>
          <w:kern w:val="24"/>
        </w:rPr>
      </w:pPr>
      <w:r w:rsidRPr="004115BC">
        <w:rPr>
          <w:kern w:val="24"/>
        </w:rPr>
        <w:lastRenderedPageBreak/>
        <w:t>D</w:t>
      </w:r>
      <w:r>
        <w:rPr>
          <w:kern w:val="24"/>
        </w:rPr>
        <w:t>anske Regioner vil sikre, at det er helt klart, at Medicinrådet arbejder efter Folketingets syv principper</w:t>
      </w:r>
      <w:r w:rsidR="00017E56">
        <w:rPr>
          <w:kern w:val="24"/>
        </w:rPr>
        <w:t>.</w:t>
      </w:r>
      <w:r>
        <w:rPr>
          <w:kern w:val="24"/>
        </w:rPr>
        <w:t xml:space="preserve"> </w:t>
      </w:r>
    </w:p>
    <w:p w:rsidR="005A79E4" w:rsidRDefault="005A79E4" w:rsidP="005A79E4">
      <w:pPr>
        <w:rPr>
          <w:kern w:val="24"/>
        </w:rPr>
      </w:pPr>
    </w:p>
    <w:p w:rsidR="009F6435" w:rsidRPr="00A11ED9" w:rsidRDefault="009F6435" w:rsidP="005A79E4">
      <w:pPr>
        <w:rPr>
          <w:b/>
          <w:kern w:val="24"/>
        </w:rPr>
      </w:pPr>
      <w:r w:rsidRPr="00A11ED9">
        <w:rPr>
          <w:b/>
          <w:kern w:val="24"/>
        </w:rPr>
        <w:t>Medicinrådets beslutningsgrundlag for ibrugtagning af lægemidler</w:t>
      </w:r>
    </w:p>
    <w:p w:rsidR="009F6435" w:rsidRPr="00CE0083" w:rsidRDefault="009F6435" w:rsidP="005A79E4">
      <w:pPr>
        <w:rPr>
          <w:kern w:val="24"/>
        </w:rPr>
      </w:pPr>
      <w:r w:rsidRPr="00CE0083">
        <w:rPr>
          <w:kern w:val="24"/>
        </w:rPr>
        <w:t xml:space="preserve">Der er i flere høringssvar </w:t>
      </w:r>
      <w:r w:rsidR="00AC5745" w:rsidRPr="00CE0083">
        <w:rPr>
          <w:kern w:val="24"/>
        </w:rPr>
        <w:t>bl.a.</w:t>
      </w:r>
      <w:r w:rsidRPr="00CE0083">
        <w:rPr>
          <w:kern w:val="24"/>
        </w:rPr>
        <w:t xml:space="preserve"> fra Lægemiddelindustriforeningen og Da</w:t>
      </w:r>
      <w:r w:rsidRPr="00CE0083">
        <w:rPr>
          <w:kern w:val="24"/>
        </w:rPr>
        <w:t>n</w:t>
      </w:r>
      <w:r w:rsidRPr="00CE0083">
        <w:rPr>
          <w:kern w:val="24"/>
        </w:rPr>
        <w:t>ske Patienter</w:t>
      </w:r>
      <w:r w:rsidR="00AC5745" w:rsidRPr="00CE0083">
        <w:rPr>
          <w:kern w:val="24"/>
        </w:rPr>
        <w:t xml:space="preserve"> peget på, at der ikke er redegjort for den egentlige beslu</w:t>
      </w:r>
      <w:r w:rsidR="00AC5745" w:rsidRPr="00CE0083">
        <w:rPr>
          <w:kern w:val="24"/>
        </w:rPr>
        <w:t>t</w:t>
      </w:r>
      <w:r w:rsidR="00AC5745" w:rsidRPr="00CE0083">
        <w:rPr>
          <w:kern w:val="24"/>
        </w:rPr>
        <w:t xml:space="preserve">ningsmekanisme – dvs. koblingen mellem </w:t>
      </w:r>
      <w:r w:rsidR="001F02D5" w:rsidRPr="00CE0083">
        <w:rPr>
          <w:kern w:val="24"/>
        </w:rPr>
        <w:t>omkostninger</w:t>
      </w:r>
      <w:r w:rsidR="00AC5745" w:rsidRPr="00CE0083">
        <w:rPr>
          <w:kern w:val="24"/>
        </w:rPr>
        <w:t xml:space="preserve"> og lægemidlers merværdi – i metoderne. </w:t>
      </w:r>
    </w:p>
    <w:p w:rsidR="00AC5745" w:rsidRPr="00CE0083" w:rsidRDefault="00AC5745" w:rsidP="005A79E4">
      <w:pPr>
        <w:rPr>
          <w:kern w:val="24"/>
        </w:rPr>
      </w:pPr>
    </w:p>
    <w:p w:rsidR="00017E56" w:rsidRPr="00CE0083" w:rsidRDefault="00AC5745" w:rsidP="00A11ED9">
      <w:pPr>
        <w:rPr>
          <w:kern w:val="24"/>
        </w:rPr>
      </w:pPr>
      <w:r w:rsidRPr="00CE0083">
        <w:rPr>
          <w:kern w:val="24"/>
        </w:rPr>
        <w:t>Medicinrådets beslutningsgrundlag er ikke omtalt i metoderne, da det hve</w:t>
      </w:r>
      <w:r w:rsidRPr="00CE0083">
        <w:rPr>
          <w:kern w:val="24"/>
        </w:rPr>
        <w:t>r</w:t>
      </w:r>
      <w:r w:rsidRPr="00CE0083">
        <w:rPr>
          <w:kern w:val="24"/>
        </w:rPr>
        <w:t xml:space="preserve">ken er en del af den faglige metode eller omkostningsanalysen. </w:t>
      </w:r>
    </w:p>
    <w:p w:rsidR="00017E56" w:rsidRPr="00CE0083" w:rsidRDefault="00017E56" w:rsidP="00A11ED9">
      <w:pPr>
        <w:rPr>
          <w:kern w:val="24"/>
        </w:rPr>
      </w:pPr>
    </w:p>
    <w:p w:rsidR="00AC5745" w:rsidRDefault="00AC5745" w:rsidP="00A11ED9">
      <w:r w:rsidRPr="00CE0083">
        <w:rPr>
          <w:kern w:val="24"/>
        </w:rPr>
        <w:t xml:space="preserve">Det kan </w:t>
      </w:r>
      <w:r w:rsidR="00017E56" w:rsidRPr="00CE0083">
        <w:rPr>
          <w:kern w:val="24"/>
        </w:rPr>
        <w:t xml:space="preserve">oplyses, at </w:t>
      </w:r>
      <w:r w:rsidRPr="00CE0083">
        <w:t>Amgros i prisforhandlingen med leverandøren</w:t>
      </w:r>
      <w:r>
        <w:t xml:space="preserve"> af et nyt lægemiddel tage</w:t>
      </w:r>
      <w:r w:rsidR="00017E56">
        <w:t>r</w:t>
      </w:r>
      <w:r>
        <w:t xml:space="preserve"> udgangspunkt i Medicinrådets kliniske merværdikategor</w:t>
      </w:r>
      <w:r>
        <w:t>i</w:t>
      </w:r>
      <w:r>
        <w:t>sering af lægemidlet, omkostningsanalysen, et estimat over budgetkons</w:t>
      </w:r>
      <w:r>
        <w:t>e</w:t>
      </w:r>
      <w:r>
        <w:t>kvenserne samt en vurdering af den usikkerhed, som er forbundet med alle tre elementer. Når prisforhandlingen er afsluttet, sender Amgros et beslu</w:t>
      </w:r>
      <w:r>
        <w:t>t</w:t>
      </w:r>
      <w:r>
        <w:t>ningsgrundlag til Medicinrådet, som vurderer, om lægemidlet skal anbef</w:t>
      </w:r>
      <w:r>
        <w:t>a</w:t>
      </w:r>
      <w:r>
        <w:t>les ibrugtaget som standardbehandling. Til brug for beslutningen om ibru</w:t>
      </w:r>
      <w:r>
        <w:t>g</w:t>
      </w:r>
      <w:r>
        <w:t xml:space="preserve">tagning tager Medicinrådet udgangspunkt i Amgros beslutningsgrundlag, og inddrager desuden overvejelser vedrørende Folketingets 7 principper for prioritering af sygehuslægemidler. Medicinrådet kan i særlige tilfælde også inddrage overvejelser om alvorlighed og forsigtighed i sin anbefaling om ibrugtagning af et lægemiddel som standardbehandling. </w:t>
      </w:r>
    </w:p>
    <w:p w:rsidR="009F6435" w:rsidRPr="00CE0083" w:rsidRDefault="009F6435" w:rsidP="005A79E4">
      <w:pPr>
        <w:rPr>
          <w:kern w:val="24"/>
        </w:rPr>
      </w:pPr>
    </w:p>
    <w:p w:rsidR="005A79E4" w:rsidRDefault="005A79E4" w:rsidP="005A79E4">
      <w:pPr>
        <w:rPr>
          <w:b/>
          <w:kern w:val="24"/>
          <w:u w:val="single"/>
        </w:rPr>
      </w:pPr>
      <w:r>
        <w:rPr>
          <w:b/>
          <w:kern w:val="24"/>
          <w:u w:val="single"/>
        </w:rPr>
        <w:t>2. O</w:t>
      </w:r>
      <w:r w:rsidRPr="00DA5128">
        <w:rPr>
          <w:b/>
          <w:kern w:val="24"/>
          <w:u w:val="single"/>
        </w:rPr>
        <w:t>verordnet struktur</w:t>
      </w:r>
    </w:p>
    <w:p w:rsidR="005A79E4" w:rsidRPr="00DA5128" w:rsidRDefault="005A79E4" w:rsidP="005A79E4">
      <w:pPr>
        <w:rPr>
          <w:b/>
          <w:kern w:val="24"/>
          <w:u w:val="single"/>
        </w:rPr>
      </w:pPr>
    </w:p>
    <w:p w:rsidR="005A79E4" w:rsidRPr="004115BC" w:rsidRDefault="005A79E4" w:rsidP="005A79E4">
      <w:pPr>
        <w:rPr>
          <w:b/>
          <w:kern w:val="24"/>
        </w:rPr>
      </w:pPr>
      <w:r w:rsidRPr="004115BC">
        <w:rPr>
          <w:b/>
          <w:kern w:val="24"/>
        </w:rPr>
        <w:t>Manglende uafhængighed</w:t>
      </w:r>
    </w:p>
    <w:p w:rsidR="005A79E4" w:rsidRPr="004115BC" w:rsidRDefault="005A79E4" w:rsidP="005A79E4">
      <w:pPr>
        <w:rPr>
          <w:kern w:val="24"/>
        </w:rPr>
      </w:pPr>
      <w:r w:rsidRPr="004115BC">
        <w:rPr>
          <w:kern w:val="24"/>
        </w:rPr>
        <w:t>Dansk Selskab for Almen Medicin har påpeget, at der kan stilles spørgsmål ved armslængden i Medicinrådets beslutninger, idet det er Danske Regi</w:t>
      </w:r>
      <w:r w:rsidRPr="004115BC">
        <w:rPr>
          <w:kern w:val="24"/>
        </w:rPr>
        <w:t>o</w:t>
      </w:r>
      <w:r w:rsidRPr="004115BC">
        <w:rPr>
          <w:kern w:val="24"/>
        </w:rPr>
        <w:t xml:space="preserve">ner, der har nedsat Medicinrådet og udformet kommissoriet. </w:t>
      </w:r>
    </w:p>
    <w:p w:rsidR="005A79E4" w:rsidRPr="004115BC" w:rsidRDefault="005A79E4" w:rsidP="005A79E4">
      <w:pPr>
        <w:rPr>
          <w:kern w:val="24"/>
        </w:rPr>
      </w:pPr>
    </w:p>
    <w:p w:rsidR="005A79E4" w:rsidRPr="004115BC" w:rsidRDefault="005A79E4" w:rsidP="005A79E4">
      <w:pPr>
        <w:rPr>
          <w:kern w:val="24"/>
        </w:rPr>
      </w:pPr>
      <w:r w:rsidRPr="004115BC">
        <w:rPr>
          <w:kern w:val="24"/>
        </w:rPr>
        <w:t>Danske Regioner kan oplyse, at det sammen med Kammeradvokaten har været undersøgt, om Medicinrådet kunne blive etableret fuldstændigt ua</w:t>
      </w:r>
      <w:r w:rsidRPr="004115BC">
        <w:rPr>
          <w:kern w:val="24"/>
        </w:rPr>
        <w:t>f</w:t>
      </w:r>
      <w:r w:rsidRPr="004115BC">
        <w:rPr>
          <w:kern w:val="24"/>
        </w:rPr>
        <w:t>hængigt af Danske Regioner eksempelvis som et kapitalselskab, en fo</w:t>
      </w:r>
      <w:r w:rsidRPr="004115BC">
        <w:rPr>
          <w:kern w:val="24"/>
        </w:rPr>
        <w:t>r</w:t>
      </w:r>
      <w:r w:rsidRPr="004115BC">
        <w:rPr>
          <w:kern w:val="24"/>
        </w:rPr>
        <w:t>ening, et interessentskab eller en fond. Konklusionen var, at de øvrige ko</w:t>
      </w:r>
      <w:r w:rsidRPr="004115BC">
        <w:rPr>
          <w:kern w:val="24"/>
        </w:rPr>
        <w:t>n</w:t>
      </w:r>
      <w:r w:rsidRPr="004115BC">
        <w:rPr>
          <w:kern w:val="24"/>
        </w:rPr>
        <w:t>struktioner i sidste ende ville ende med mindre armslængde end den valgte model, idet alle de nævnte alternativer ville kræve en bestyrelse, som ville stå over selve Rådet.</w:t>
      </w:r>
    </w:p>
    <w:p w:rsidR="005A79E4" w:rsidRPr="004115BC" w:rsidRDefault="005A79E4" w:rsidP="005A79E4">
      <w:pPr>
        <w:rPr>
          <w:kern w:val="24"/>
        </w:rPr>
      </w:pPr>
    </w:p>
    <w:p w:rsidR="005A79E4" w:rsidRPr="004115BC" w:rsidRDefault="005A79E4" w:rsidP="005A79E4">
      <w:pPr>
        <w:rPr>
          <w:kern w:val="24"/>
        </w:rPr>
      </w:pPr>
      <w:r w:rsidRPr="004115BC">
        <w:rPr>
          <w:kern w:val="24"/>
        </w:rPr>
        <w:lastRenderedPageBreak/>
        <w:t>For at sikre armslængden i beslutningerne og sagsbehandlingen i Medici</w:t>
      </w:r>
      <w:r w:rsidRPr="004115BC">
        <w:rPr>
          <w:kern w:val="24"/>
        </w:rPr>
        <w:t>n</w:t>
      </w:r>
      <w:r w:rsidRPr="004115BC">
        <w:rPr>
          <w:kern w:val="24"/>
        </w:rPr>
        <w:t>rådet, er det tydeligt beskrevet i kommissoriet, at Danske Regioner ingen instruktionsbeføjelser har over for Medicinrådet – ej heller overfor sekret</w:t>
      </w:r>
      <w:r w:rsidRPr="004115BC">
        <w:rPr>
          <w:kern w:val="24"/>
        </w:rPr>
        <w:t>a</w:t>
      </w:r>
      <w:r w:rsidRPr="004115BC">
        <w:rPr>
          <w:kern w:val="24"/>
        </w:rPr>
        <w:t xml:space="preserve">riatet. </w:t>
      </w:r>
    </w:p>
    <w:p w:rsidR="005A79E4" w:rsidRPr="004115BC" w:rsidRDefault="005A79E4" w:rsidP="005A79E4">
      <w:pPr>
        <w:rPr>
          <w:kern w:val="24"/>
        </w:rPr>
      </w:pPr>
    </w:p>
    <w:p w:rsidR="005A79E4" w:rsidRPr="004115BC" w:rsidRDefault="005A79E4" w:rsidP="005A79E4">
      <w:pPr>
        <w:rPr>
          <w:b/>
          <w:kern w:val="24"/>
        </w:rPr>
      </w:pPr>
      <w:r w:rsidRPr="004115BC">
        <w:rPr>
          <w:b/>
          <w:kern w:val="24"/>
        </w:rPr>
        <w:t>Faglighed</w:t>
      </w:r>
      <w:r>
        <w:rPr>
          <w:b/>
          <w:kern w:val="24"/>
        </w:rPr>
        <w:t xml:space="preserve"> i Medicinrådet</w:t>
      </w:r>
    </w:p>
    <w:p w:rsidR="005A79E4" w:rsidRDefault="005A79E4" w:rsidP="005A79E4">
      <w:pPr>
        <w:rPr>
          <w:kern w:val="24"/>
        </w:rPr>
      </w:pPr>
      <w:r w:rsidRPr="004115BC">
        <w:rPr>
          <w:kern w:val="24"/>
        </w:rPr>
        <w:t>Lægevidenskabelige Selskaber og Lægemiddelindustriforeningen har u</w:t>
      </w:r>
      <w:r w:rsidRPr="004115BC">
        <w:rPr>
          <w:kern w:val="24"/>
        </w:rPr>
        <w:t>d</w:t>
      </w:r>
      <w:r w:rsidRPr="004115BC">
        <w:rPr>
          <w:kern w:val="24"/>
        </w:rPr>
        <w:t xml:space="preserve">trykt bekymring for, om for mange af de faglige opgaver vil blive placeret i sekretariatet. </w:t>
      </w:r>
    </w:p>
    <w:p w:rsidR="005A79E4" w:rsidRPr="004115BC" w:rsidRDefault="005A79E4" w:rsidP="005A79E4">
      <w:pPr>
        <w:rPr>
          <w:kern w:val="24"/>
        </w:rPr>
      </w:pPr>
    </w:p>
    <w:p w:rsidR="005A79E4" w:rsidRPr="004115BC" w:rsidRDefault="005A79E4" w:rsidP="005A79E4">
      <w:pPr>
        <w:rPr>
          <w:kern w:val="24"/>
        </w:rPr>
      </w:pPr>
      <w:r w:rsidRPr="004115BC">
        <w:rPr>
          <w:kern w:val="24"/>
        </w:rPr>
        <w:t xml:space="preserve">Medicinrådet </w:t>
      </w:r>
      <w:r>
        <w:rPr>
          <w:kern w:val="24"/>
        </w:rPr>
        <w:t xml:space="preserve">vil komme til at </w:t>
      </w:r>
      <w:r w:rsidRPr="004115BC">
        <w:rPr>
          <w:kern w:val="24"/>
        </w:rPr>
        <w:t>stå for høj faglighed</w:t>
      </w:r>
      <w:r>
        <w:rPr>
          <w:kern w:val="24"/>
        </w:rPr>
        <w:t xml:space="preserve"> i dets beslutninger</w:t>
      </w:r>
      <w:r w:rsidRPr="004115BC">
        <w:rPr>
          <w:kern w:val="24"/>
        </w:rPr>
        <w:t>. Alle lægefaglige beslutninger vil således blive foretaget af Rådet efter indstilling fra fagudvalg/faglige fora, der foretager vurderingerne. Sekretariatet bistår fagudvalgene/faglige fora/Rådet i arbejdet efter nøje beskrevne procedurer i metodehåndbøgerne, men de faglige vurderinger og beslutninger træffes alene af fagudvalgene, faglige fora og Rådet.</w:t>
      </w:r>
    </w:p>
    <w:p w:rsidR="005A79E4" w:rsidRPr="004115BC" w:rsidRDefault="005A79E4" w:rsidP="005A79E4">
      <w:pPr>
        <w:rPr>
          <w:kern w:val="24"/>
        </w:rPr>
      </w:pPr>
    </w:p>
    <w:p w:rsidR="005A79E4" w:rsidRPr="004115BC" w:rsidRDefault="005A79E4" w:rsidP="005A79E4">
      <w:pPr>
        <w:rPr>
          <w:b/>
          <w:kern w:val="24"/>
        </w:rPr>
      </w:pPr>
      <w:r w:rsidRPr="004115BC">
        <w:rPr>
          <w:b/>
          <w:kern w:val="24"/>
        </w:rPr>
        <w:t>Udpegning af patientrepræsentanter i fagudvalg</w:t>
      </w:r>
    </w:p>
    <w:p w:rsidR="005A79E4" w:rsidRPr="004115BC" w:rsidRDefault="005A79E4" w:rsidP="005A79E4">
      <w:pPr>
        <w:rPr>
          <w:kern w:val="24"/>
        </w:rPr>
      </w:pPr>
      <w:r w:rsidRPr="004115BC">
        <w:rPr>
          <w:kern w:val="24"/>
        </w:rPr>
        <w:t>Danske Handicaporganisationer har spurgt til</w:t>
      </w:r>
      <w:r>
        <w:rPr>
          <w:kern w:val="24"/>
        </w:rPr>
        <w:t>,</w:t>
      </w:r>
      <w:r w:rsidRPr="004115BC">
        <w:rPr>
          <w:kern w:val="24"/>
        </w:rPr>
        <w:t xml:space="preserve"> hvordan udvælgelsen af pat</w:t>
      </w:r>
      <w:r w:rsidRPr="004115BC">
        <w:rPr>
          <w:kern w:val="24"/>
        </w:rPr>
        <w:t>i</w:t>
      </w:r>
      <w:r w:rsidRPr="004115BC">
        <w:rPr>
          <w:kern w:val="24"/>
        </w:rPr>
        <w:t xml:space="preserve">entrepræsentanter til fagudvalgene finder sted. </w:t>
      </w:r>
    </w:p>
    <w:p w:rsidR="005A79E4" w:rsidRPr="004115BC" w:rsidRDefault="005A79E4" w:rsidP="005A79E4">
      <w:pPr>
        <w:rPr>
          <w:kern w:val="24"/>
        </w:rPr>
      </w:pPr>
    </w:p>
    <w:p w:rsidR="005A79E4" w:rsidRPr="004115BC" w:rsidRDefault="005A79E4" w:rsidP="005A79E4">
      <w:pPr>
        <w:rPr>
          <w:kern w:val="24"/>
        </w:rPr>
      </w:pPr>
      <w:r w:rsidRPr="004115BC">
        <w:rPr>
          <w:kern w:val="24"/>
        </w:rPr>
        <w:t>Udvælgelsen sker ved, at Medicinrådet anmoder Danske Patienter om at indstille patientrepræsentanter til fagudvalg/fagligt forum under Medicinr</w:t>
      </w:r>
      <w:r w:rsidRPr="004115BC">
        <w:rPr>
          <w:kern w:val="24"/>
        </w:rPr>
        <w:t>å</w:t>
      </w:r>
      <w:r w:rsidRPr="004115BC">
        <w:rPr>
          <w:kern w:val="24"/>
        </w:rPr>
        <w:t>det. Danske Patienter forpligtes til at inddrage de relevante patientorganis</w:t>
      </w:r>
      <w:r w:rsidRPr="004115BC">
        <w:rPr>
          <w:kern w:val="24"/>
        </w:rPr>
        <w:t>a</w:t>
      </w:r>
      <w:r w:rsidRPr="004115BC">
        <w:rPr>
          <w:kern w:val="24"/>
        </w:rPr>
        <w:t xml:space="preserve">tioner - fx Danske Handicaporganisationer - når Danske Patienter ikke selv dækker den relevante medlemsorganisation. </w:t>
      </w:r>
    </w:p>
    <w:p w:rsidR="005A79E4" w:rsidRPr="004115BC" w:rsidRDefault="005A79E4" w:rsidP="005A79E4">
      <w:pPr>
        <w:rPr>
          <w:kern w:val="24"/>
        </w:rPr>
      </w:pPr>
    </w:p>
    <w:p w:rsidR="005A79E4" w:rsidRPr="004115BC" w:rsidRDefault="005A79E4" w:rsidP="005A79E4">
      <w:pPr>
        <w:rPr>
          <w:b/>
          <w:kern w:val="24"/>
        </w:rPr>
      </w:pPr>
      <w:r w:rsidRPr="004115BC">
        <w:rPr>
          <w:b/>
          <w:kern w:val="24"/>
        </w:rPr>
        <w:t>Hvordan håndterer Medicinrådet uenighed</w:t>
      </w:r>
    </w:p>
    <w:p w:rsidR="005A79E4" w:rsidRDefault="005A79E4" w:rsidP="005A79E4">
      <w:pPr>
        <w:rPr>
          <w:kern w:val="24"/>
        </w:rPr>
      </w:pPr>
      <w:r w:rsidRPr="004115BC">
        <w:rPr>
          <w:kern w:val="24"/>
        </w:rPr>
        <w:t>Sundhedsstyrelsen og Danske Patienter har spurgt til, hvorledes eventuelle uenigheder i Medicinrådet skal håndteres.</w:t>
      </w:r>
    </w:p>
    <w:p w:rsidR="005A79E4" w:rsidRPr="004115BC" w:rsidRDefault="005A79E4" w:rsidP="005A79E4">
      <w:pPr>
        <w:rPr>
          <w:kern w:val="24"/>
        </w:rPr>
      </w:pPr>
    </w:p>
    <w:p w:rsidR="005A79E4" w:rsidRPr="004115BC" w:rsidRDefault="005A79E4" w:rsidP="005A79E4">
      <w:pPr>
        <w:rPr>
          <w:kern w:val="24"/>
        </w:rPr>
      </w:pPr>
      <w:r w:rsidRPr="004115BC">
        <w:rPr>
          <w:kern w:val="24"/>
        </w:rPr>
        <w:t>Det er indskrevet i kommissoriet, at Rådet så vidt muligt skal træffe beslu</w:t>
      </w:r>
      <w:r w:rsidRPr="004115BC">
        <w:rPr>
          <w:kern w:val="24"/>
        </w:rPr>
        <w:t>t</w:t>
      </w:r>
      <w:r w:rsidRPr="004115BC">
        <w:rPr>
          <w:kern w:val="24"/>
        </w:rPr>
        <w:t>ninger efter opnået enighed. Kan Rådet ikke nå til enighed, træffes der b</w:t>
      </w:r>
      <w:r w:rsidRPr="004115BC">
        <w:rPr>
          <w:kern w:val="24"/>
        </w:rPr>
        <w:t>e</w:t>
      </w:r>
      <w:r w:rsidRPr="004115BC">
        <w:rPr>
          <w:kern w:val="24"/>
        </w:rPr>
        <w:t xml:space="preserve">slutning ved afstemning med simpelt flertal. </w:t>
      </w:r>
      <w:r>
        <w:rPr>
          <w:kern w:val="24"/>
        </w:rPr>
        <w:t xml:space="preserve">Der vil også her være åbenhed om Rådets arbejde. </w:t>
      </w:r>
    </w:p>
    <w:p w:rsidR="005A79E4" w:rsidRPr="004115BC" w:rsidRDefault="005A79E4" w:rsidP="005A79E4">
      <w:pPr>
        <w:rPr>
          <w:kern w:val="24"/>
        </w:rPr>
      </w:pPr>
    </w:p>
    <w:p w:rsidR="005A79E4" w:rsidRPr="004115BC" w:rsidRDefault="005A79E4" w:rsidP="005A79E4">
      <w:pPr>
        <w:rPr>
          <w:b/>
          <w:kern w:val="24"/>
        </w:rPr>
      </w:pPr>
      <w:r w:rsidRPr="004115BC">
        <w:rPr>
          <w:b/>
          <w:kern w:val="24"/>
        </w:rPr>
        <w:t>Mulighed for andre end leverandører til at tage sager om ibrugtagning af nye lægemidler op</w:t>
      </w:r>
    </w:p>
    <w:p w:rsidR="005A79E4" w:rsidRDefault="005A79E4" w:rsidP="005A79E4">
      <w:pPr>
        <w:rPr>
          <w:kern w:val="24"/>
        </w:rPr>
      </w:pPr>
      <w:r w:rsidRPr="004115BC">
        <w:rPr>
          <w:kern w:val="24"/>
        </w:rPr>
        <w:t>Lægeforeningen og Danske Patienter har stillet spørgsmål ved, om andre end leverandøre</w:t>
      </w:r>
      <w:r>
        <w:rPr>
          <w:kern w:val="24"/>
        </w:rPr>
        <w:t>r</w:t>
      </w:r>
      <w:r w:rsidRPr="004115BC">
        <w:rPr>
          <w:kern w:val="24"/>
        </w:rPr>
        <w:t xml:space="preserve"> kan tage sager op i Medicinrådet. </w:t>
      </w:r>
      <w:r>
        <w:rPr>
          <w:kern w:val="24"/>
        </w:rPr>
        <w:t>Lægemiddelindustrifo</w:t>
      </w:r>
      <w:r>
        <w:rPr>
          <w:kern w:val="24"/>
        </w:rPr>
        <w:t>r</w:t>
      </w:r>
      <w:r>
        <w:rPr>
          <w:kern w:val="24"/>
        </w:rPr>
        <w:lastRenderedPageBreak/>
        <w:t>eningen har endvidere spurgt til, hvad der sker, hvis en virksomhed ikke a</w:t>
      </w:r>
      <w:r>
        <w:rPr>
          <w:kern w:val="24"/>
        </w:rPr>
        <w:t>n</w:t>
      </w:r>
      <w:r>
        <w:rPr>
          <w:kern w:val="24"/>
        </w:rPr>
        <w:t xml:space="preserve">søger om ibrugtagning. </w:t>
      </w:r>
    </w:p>
    <w:p w:rsidR="005A79E4" w:rsidRPr="004115BC" w:rsidRDefault="005A79E4" w:rsidP="005A79E4">
      <w:pPr>
        <w:rPr>
          <w:kern w:val="24"/>
        </w:rPr>
      </w:pPr>
    </w:p>
    <w:p w:rsidR="005A79E4" w:rsidRPr="004115BC" w:rsidRDefault="005A79E4" w:rsidP="005A79E4">
      <w:pPr>
        <w:rPr>
          <w:kern w:val="24"/>
        </w:rPr>
      </w:pPr>
      <w:r w:rsidRPr="004115BC">
        <w:rPr>
          <w:kern w:val="24"/>
        </w:rPr>
        <w:t xml:space="preserve">Det kan oplyses, at det følger af kommissoriet for Medicinrådet, at Rådet kan tage sager op </w:t>
      </w:r>
      <w:r>
        <w:rPr>
          <w:kern w:val="24"/>
        </w:rPr>
        <w:t>på eget initiativ</w:t>
      </w:r>
      <w:r w:rsidRPr="004115BC">
        <w:rPr>
          <w:kern w:val="24"/>
        </w:rPr>
        <w:t>. Det er således muligt for Medicinrådet at behandle nye lægemidler, selvom producenten måtte vælge ikke selv at s</w:t>
      </w:r>
      <w:r w:rsidRPr="004115BC">
        <w:rPr>
          <w:kern w:val="24"/>
        </w:rPr>
        <w:t>ø</w:t>
      </w:r>
      <w:r w:rsidRPr="004115BC">
        <w:rPr>
          <w:kern w:val="24"/>
        </w:rPr>
        <w:t xml:space="preserve">ge om godkendelse. Det indebærer også, at det </w:t>
      </w:r>
      <w:r>
        <w:rPr>
          <w:kern w:val="24"/>
        </w:rPr>
        <w:t xml:space="preserve">vil </w:t>
      </w:r>
      <w:r w:rsidRPr="004115BC">
        <w:rPr>
          <w:kern w:val="24"/>
        </w:rPr>
        <w:t>være muligt for fx pat</w:t>
      </w:r>
      <w:r w:rsidRPr="004115BC">
        <w:rPr>
          <w:kern w:val="24"/>
        </w:rPr>
        <w:t>i</w:t>
      </w:r>
      <w:r w:rsidRPr="004115BC">
        <w:rPr>
          <w:kern w:val="24"/>
        </w:rPr>
        <w:t>entforeningen og/eller klinikere at rette henvendelse til Rådet, og bede R</w:t>
      </w:r>
      <w:r w:rsidRPr="004115BC">
        <w:rPr>
          <w:kern w:val="24"/>
        </w:rPr>
        <w:t>å</w:t>
      </w:r>
      <w:r w:rsidRPr="004115BC">
        <w:rPr>
          <w:kern w:val="24"/>
        </w:rPr>
        <w:t>det om at tage et lægemiddel/behandlingsområde op. Det vil derefter være op til Rådet at beslutte, om man vil igangsætte en proces.</w:t>
      </w:r>
    </w:p>
    <w:p w:rsidR="005A79E4" w:rsidRDefault="005A79E4" w:rsidP="005A79E4">
      <w:pPr>
        <w:rPr>
          <w:kern w:val="24"/>
        </w:rPr>
      </w:pPr>
    </w:p>
    <w:p w:rsidR="005A79E4" w:rsidRPr="004115BC" w:rsidRDefault="005A79E4" w:rsidP="005A79E4">
      <w:pPr>
        <w:rPr>
          <w:b/>
          <w:kern w:val="24"/>
        </w:rPr>
      </w:pPr>
      <w:r w:rsidRPr="004115BC">
        <w:rPr>
          <w:b/>
          <w:kern w:val="24"/>
        </w:rPr>
        <w:t>Er Medicinrådets anbefalinger bindende for regionerne</w:t>
      </w:r>
    </w:p>
    <w:p w:rsidR="005A79E4" w:rsidRDefault="005A79E4" w:rsidP="005A79E4">
      <w:pPr>
        <w:rPr>
          <w:kern w:val="24"/>
        </w:rPr>
      </w:pPr>
      <w:r w:rsidRPr="004115BC">
        <w:rPr>
          <w:kern w:val="24"/>
        </w:rPr>
        <w:t xml:space="preserve">Danske Patienter har spurgt til, om Medicinrådets kliniske retningslinjer vil være vejledende eller bindende for regionerne. </w:t>
      </w:r>
    </w:p>
    <w:p w:rsidR="005A79E4" w:rsidRPr="004115BC" w:rsidRDefault="005A79E4" w:rsidP="005A79E4">
      <w:pPr>
        <w:rPr>
          <w:kern w:val="24"/>
        </w:rPr>
      </w:pPr>
    </w:p>
    <w:p w:rsidR="005A79E4" w:rsidRDefault="005A79E4" w:rsidP="005A79E4">
      <w:pPr>
        <w:rPr>
          <w:kern w:val="24"/>
        </w:rPr>
      </w:pPr>
      <w:r w:rsidRPr="004115BC">
        <w:rPr>
          <w:kern w:val="24"/>
        </w:rPr>
        <w:t>Medicinrådets anbefalinger om ibrugtagning samt vejledninger er ikke bi</w:t>
      </w:r>
      <w:r w:rsidRPr="004115BC">
        <w:rPr>
          <w:kern w:val="24"/>
        </w:rPr>
        <w:t>n</w:t>
      </w:r>
      <w:r w:rsidRPr="004115BC">
        <w:rPr>
          <w:kern w:val="24"/>
        </w:rPr>
        <w:t>dende for regionerne. Medicinrådet har således ikke bemyndigelse til at træffe beslutninger, der er bindende for regionerne. Det er i sidste ende op til den enkelte region at beslutte, om og hvordan regionen vælger at impl</w:t>
      </w:r>
      <w:r w:rsidRPr="004115BC">
        <w:rPr>
          <w:kern w:val="24"/>
        </w:rPr>
        <w:t>e</w:t>
      </w:r>
      <w:r w:rsidRPr="004115BC">
        <w:rPr>
          <w:kern w:val="24"/>
        </w:rPr>
        <w:t>mentere en anbefaling/vejledning udarbejdet af Medicinrådet. Det forventes dog, at regionerne vil vælge at implementere Medicinrådets anbefalinger og vejledninger.</w:t>
      </w:r>
    </w:p>
    <w:p w:rsidR="005A79E4" w:rsidRDefault="005A79E4" w:rsidP="005A79E4">
      <w:pPr>
        <w:rPr>
          <w:kern w:val="24"/>
        </w:rPr>
      </w:pPr>
    </w:p>
    <w:p w:rsidR="005A79E4" w:rsidRPr="004115BC" w:rsidRDefault="005A79E4" w:rsidP="005A79E4">
      <w:pPr>
        <w:rPr>
          <w:kern w:val="24"/>
        </w:rPr>
      </w:pPr>
    </w:p>
    <w:p w:rsidR="005A79E4" w:rsidRPr="004115BC" w:rsidRDefault="005A79E4" w:rsidP="005A79E4">
      <w:pPr>
        <w:rPr>
          <w:b/>
          <w:kern w:val="24"/>
        </w:rPr>
      </w:pPr>
      <w:r w:rsidRPr="004115BC">
        <w:rPr>
          <w:b/>
          <w:kern w:val="24"/>
        </w:rPr>
        <w:t>Manglende høring/klagemulighed over Medicinrådets anbefalinger</w:t>
      </w:r>
    </w:p>
    <w:p w:rsidR="005A79E4" w:rsidRPr="004115BC" w:rsidRDefault="005A79E4" w:rsidP="005A79E4">
      <w:pPr>
        <w:rPr>
          <w:kern w:val="24"/>
        </w:rPr>
      </w:pPr>
      <w:r w:rsidRPr="004115BC">
        <w:rPr>
          <w:kern w:val="24"/>
        </w:rPr>
        <w:t>Amgen, Bristol-Myers Squibb og Lægemiddelindustriforeningen har stillet spørgsmål angående, at der ikke oprettes en administrativ klageinstans, samt at der ikke er lagt op til at partshøre ansøgervirksomheder, inden M</w:t>
      </w:r>
      <w:r w:rsidRPr="004115BC">
        <w:rPr>
          <w:kern w:val="24"/>
        </w:rPr>
        <w:t>e</w:t>
      </w:r>
      <w:r w:rsidRPr="004115BC">
        <w:rPr>
          <w:kern w:val="24"/>
        </w:rPr>
        <w:t>dicinrådet træffes beslutninger. Lægemiddelindustriforeningen har endvid</w:t>
      </w:r>
      <w:r w:rsidRPr="004115BC">
        <w:rPr>
          <w:kern w:val="24"/>
        </w:rPr>
        <w:t>e</w:t>
      </w:r>
      <w:r w:rsidRPr="004115BC">
        <w:rPr>
          <w:kern w:val="24"/>
        </w:rPr>
        <w:t>re tilkendegivet, at de er af den overbevisning, at Medicinrådets beslutni</w:t>
      </w:r>
      <w:r w:rsidRPr="004115BC">
        <w:rPr>
          <w:kern w:val="24"/>
        </w:rPr>
        <w:t>n</w:t>
      </w:r>
      <w:r w:rsidRPr="004115BC">
        <w:rPr>
          <w:kern w:val="24"/>
        </w:rPr>
        <w:t>ger er forvaltningsretlige afgørelser.</w:t>
      </w:r>
    </w:p>
    <w:p w:rsidR="005A79E4" w:rsidRPr="004115BC" w:rsidRDefault="005A79E4" w:rsidP="005A79E4">
      <w:pPr>
        <w:rPr>
          <w:kern w:val="24"/>
        </w:rPr>
      </w:pPr>
    </w:p>
    <w:p w:rsidR="005A79E4" w:rsidRPr="004115BC" w:rsidRDefault="005A79E4" w:rsidP="005A79E4">
      <w:pPr>
        <w:rPr>
          <w:kern w:val="24"/>
        </w:rPr>
      </w:pPr>
      <w:r w:rsidRPr="004115BC">
        <w:rPr>
          <w:kern w:val="24"/>
        </w:rPr>
        <w:t>Eftersom Medicinrådets anbefalinger og vejledninger ikke er bindende for regionerne, så er der ikke tale om forvaltningsretlige afgørelser. Dette fremgår af kommissoriet, ligesom det fremgår, at der ikke er nogen admin</w:t>
      </w:r>
      <w:r w:rsidRPr="004115BC">
        <w:rPr>
          <w:kern w:val="24"/>
        </w:rPr>
        <w:t>i</w:t>
      </w:r>
      <w:r w:rsidRPr="004115BC">
        <w:rPr>
          <w:kern w:val="24"/>
        </w:rPr>
        <w:t>strativ klageinstans. Danske Regioner har haft spurgt Kammeradvokaten om dennes holdning til spørgsmålet, og Kammeradvokaten har udtalt, at denne også finder, at der ikke er tale om forvaltningsretlige afgørelser i fo</w:t>
      </w:r>
      <w:r w:rsidRPr="004115BC">
        <w:rPr>
          <w:kern w:val="24"/>
        </w:rPr>
        <w:t>r</w:t>
      </w:r>
      <w:r w:rsidRPr="004115BC">
        <w:rPr>
          <w:kern w:val="24"/>
        </w:rPr>
        <w:t>bindelse med, at Medicinrådet udstedelser anbefalinger og vejledninger. Denne opfattelse har endvidere været forelagt for Sundheds- og Ældremin</w:t>
      </w:r>
      <w:r w:rsidRPr="004115BC">
        <w:rPr>
          <w:kern w:val="24"/>
        </w:rPr>
        <w:t>i</w:t>
      </w:r>
      <w:r w:rsidRPr="004115BC">
        <w:rPr>
          <w:kern w:val="24"/>
        </w:rPr>
        <w:lastRenderedPageBreak/>
        <w:t>steriet i forbindelse med, at Danske Regioner har orienteret ministeriet om Medicinrådets oprettelse jf. sundhedslovens bestemmelser.</w:t>
      </w:r>
    </w:p>
    <w:p w:rsidR="005A79E4" w:rsidRPr="004115BC" w:rsidRDefault="005A79E4" w:rsidP="005A79E4">
      <w:pPr>
        <w:rPr>
          <w:kern w:val="24"/>
        </w:rPr>
      </w:pPr>
    </w:p>
    <w:p w:rsidR="005A79E4" w:rsidRDefault="005A79E4" w:rsidP="005A79E4">
      <w:pPr>
        <w:rPr>
          <w:kern w:val="24"/>
        </w:rPr>
      </w:pPr>
      <w:r>
        <w:rPr>
          <w:kern w:val="24"/>
        </w:rPr>
        <w:t>Da M</w:t>
      </w:r>
      <w:r w:rsidRPr="004115BC">
        <w:rPr>
          <w:kern w:val="24"/>
        </w:rPr>
        <w:t xml:space="preserve">edicinrådet </w:t>
      </w:r>
      <w:r>
        <w:rPr>
          <w:kern w:val="24"/>
        </w:rPr>
        <w:t xml:space="preserve">som nævnt </w:t>
      </w:r>
      <w:r w:rsidRPr="004115BC">
        <w:rPr>
          <w:kern w:val="24"/>
        </w:rPr>
        <w:t>ikke træffer forvaltningsretlige afgørelser, er der heller ikke krav om forvaltningsretlige parthøringer. Medicinrådet in</w:t>
      </w:r>
      <w:r w:rsidRPr="004115BC">
        <w:rPr>
          <w:kern w:val="24"/>
        </w:rPr>
        <w:t>d</w:t>
      </w:r>
      <w:r w:rsidRPr="004115BC">
        <w:rPr>
          <w:kern w:val="24"/>
        </w:rPr>
        <w:t>drager lægemiddelproducenterne i det omfang, det sikrer en høj faglig pr</w:t>
      </w:r>
      <w:r w:rsidRPr="004115BC">
        <w:rPr>
          <w:kern w:val="24"/>
        </w:rPr>
        <w:t>o</w:t>
      </w:r>
      <w:r w:rsidRPr="004115BC">
        <w:rPr>
          <w:kern w:val="24"/>
        </w:rPr>
        <w:t>ces i Medicinrådets arbejde. Graden af inddragelsen er beskrevet i metode</w:t>
      </w:r>
      <w:r w:rsidRPr="004115BC">
        <w:rPr>
          <w:kern w:val="24"/>
        </w:rPr>
        <w:t>r</w:t>
      </w:r>
      <w:r w:rsidRPr="004115BC">
        <w:rPr>
          <w:kern w:val="24"/>
        </w:rPr>
        <w:t>ne.</w:t>
      </w:r>
    </w:p>
    <w:p w:rsidR="005A79E4" w:rsidRDefault="005A79E4" w:rsidP="005A79E4">
      <w:pPr>
        <w:rPr>
          <w:kern w:val="24"/>
        </w:rPr>
      </w:pPr>
    </w:p>
    <w:p w:rsidR="005A79E4" w:rsidRPr="00DA5128" w:rsidRDefault="005A79E4" w:rsidP="005A79E4">
      <w:pPr>
        <w:rPr>
          <w:b/>
          <w:kern w:val="24"/>
          <w:u w:val="single"/>
        </w:rPr>
      </w:pPr>
      <w:r>
        <w:rPr>
          <w:b/>
          <w:kern w:val="24"/>
          <w:u w:val="single"/>
        </w:rPr>
        <w:t>3. Medicinrådets l</w:t>
      </w:r>
      <w:r w:rsidRPr="00DA5128">
        <w:rPr>
          <w:b/>
          <w:kern w:val="24"/>
          <w:u w:val="single"/>
        </w:rPr>
        <w:t>ægefaglige metoder</w:t>
      </w:r>
    </w:p>
    <w:p w:rsidR="005A79E4" w:rsidRPr="004115BC" w:rsidRDefault="005A79E4" w:rsidP="005A79E4">
      <w:pPr>
        <w:rPr>
          <w:kern w:val="24"/>
        </w:rPr>
      </w:pPr>
    </w:p>
    <w:p w:rsidR="005A79E4" w:rsidRPr="004115BC" w:rsidRDefault="005A79E4" w:rsidP="005A79E4">
      <w:pPr>
        <w:rPr>
          <w:b/>
          <w:kern w:val="24"/>
        </w:rPr>
      </w:pPr>
      <w:r w:rsidRPr="004115BC">
        <w:rPr>
          <w:b/>
          <w:kern w:val="24"/>
        </w:rPr>
        <w:t>Vil det være muligt for Medicinrådet at overholde de udmeldte tidsfr</w:t>
      </w:r>
      <w:r w:rsidRPr="004115BC">
        <w:rPr>
          <w:b/>
          <w:kern w:val="24"/>
        </w:rPr>
        <w:t>i</w:t>
      </w:r>
      <w:r w:rsidRPr="004115BC">
        <w:rPr>
          <w:b/>
          <w:kern w:val="24"/>
        </w:rPr>
        <w:t>ster</w:t>
      </w:r>
    </w:p>
    <w:p w:rsidR="005A79E4" w:rsidRDefault="005A79E4" w:rsidP="005A79E4">
      <w:pPr>
        <w:rPr>
          <w:kern w:val="24"/>
        </w:rPr>
      </w:pPr>
      <w:r w:rsidRPr="004115BC">
        <w:rPr>
          <w:kern w:val="24"/>
        </w:rPr>
        <w:t>Lægevidenskabelige Selskaber, Sundhedsstyrelsen, Danske Patienter, A</w:t>
      </w:r>
      <w:r w:rsidRPr="004115BC">
        <w:rPr>
          <w:kern w:val="24"/>
        </w:rPr>
        <w:t>m</w:t>
      </w:r>
      <w:r w:rsidRPr="004115BC">
        <w:rPr>
          <w:kern w:val="24"/>
        </w:rPr>
        <w:t xml:space="preserve">gen, Otsuka og Lægemiddelindustriforeningen har alle rejst spørgsmål om, hvorvidt de udmeldte tidsplaner og tidsfrister er realistiske. </w:t>
      </w:r>
    </w:p>
    <w:p w:rsidR="005A79E4" w:rsidRPr="004115BC" w:rsidRDefault="005A79E4" w:rsidP="005A79E4">
      <w:pPr>
        <w:rPr>
          <w:kern w:val="24"/>
        </w:rPr>
      </w:pPr>
    </w:p>
    <w:p w:rsidR="005A79E4" w:rsidRPr="004115BC" w:rsidRDefault="005A79E4" w:rsidP="005A79E4">
      <w:pPr>
        <w:rPr>
          <w:kern w:val="24"/>
        </w:rPr>
      </w:pPr>
      <w:r w:rsidRPr="004115BC">
        <w:rPr>
          <w:kern w:val="24"/>
        </w:rPr>
        <w:t>Det har været afgørende for Danske Regioner, at Danmark også efter opre</w:t>
      </w:r>
      <w:r w:rsidRPr="004115BC">
        <w:rPr>
          <w:kern w:val="24"/>
        </w:rPr>
        <w:t>t</w:t>
      </w:r>
      <w:r w:rsidRPr="004115BC">
        <w:rPr>
          <w:kern w:val="24"/>
        </w:rPr>
        <w:t xml:space="preserve">telsen af Medicinrådet fortsat er et af de lande, som først tager ny effektiv medicin i brug. Der er derfor planlagt en proces, hvor det vurderes at </w:t>
      </w:r>
      <w:r>
        <w:rPr>
          <w:kern w:val="24"/>
        </w:rPr>
        <w:t>Med</w:t>
      </w:r>
      <w:r>
        <w:rPr>
          <w:kern w:val="24"/>
        </w:rPr>
        <w:t>i</w:t>
      </w:r>
      <w:r>
        <w:rPr>
          <w:kern w:val="24"/>
        </w:rPr>
        <w:t xml:space="preserve">cinrådet vil kunne træffe afgørelse ca. 3 måneder efter, at </w:t>
      </w:r>
      <w:r w:rsidRPr="004115BC">
        <w:rPr>
          <w:kern w:val="24"/>
        </w:rPr>
        <w:t xml:space="preserve">en virksomhed har </w:t>
      </w:r>
      <w:r w:rsidR="001F02D5">
        <w:rPr>
          <w:kern w:val="24"/>
        </w:rPr>
        <w:t>sendt den endelige ansøgning</w:t>
      </w:r>
      <w:r w:rsidRPr="004115BC">
        <w:rPr>
          <w:kern w:val="24"/>
        </w:rPr>
        <w:t xml:space="preserve">. Medicinrådet vil have stor fokus på at overholde tidfristen.  </w:t>
      </w:r>
    </w:p>
    <w:p w:rsidR="005A79E4" w:rsidRDefault="005A79E4" w:rsidP="005A79E4">
      <w:pPr>
        <w:rPr>
          <w:kern w:val="24"/>
        </w:rPr>
      </w:pPr>
    </w:p>
    <w:p w:rsidR="005A79E4" w:rsidRPr="004115BC" w:rsidRDefault="005A79E4" w:rsidP="005A79E4">
      <w:pPr>
        <w:rPr>
          <w:kern w:val="24"/>
        </w:rPr>
      </w:pPr>
    </w:p>
    <w:p w:rsidR="005A79E4" w:rsidRPr="004115BC" w:rsidRDefault="005A79E4" w:rsidP="005A79E4">
      <w:pPr>
        <w:rPr>
          <w:b/>
          <w:kern w:val="24"/>
        </w:rPr>
      </w:pPr>
      <w:r w:rsidRPr="004115BC">
        <w:rPr>
          <w:b/>
          <w:kern w:val="24"/>
        </w:rPr>
        <w:t>Tidlig – men ikke for tidlig dialog med virksomheder</w:t>
      </w:r>
    </w:p>
    <w:p w:rsidR="005A79E4" w:rsidRDefault="005A79E4" w:rsidP="005A79E4">
      <w:pPr>
        <w:rPr>
          <w:kern w:val="24"/>
        </w:rPr>
      </w:pPr>
      <w:r w:rsidRPr="004115BC">
        <w:rPr>
          <w:kern w:val="24"/>
        </w:rPr>
        <w:t>Lægevidenskabelige Selskaber, Lægemiddelstyrelsen og Lægemiddelind</w:t>
      </w:r>
      <w:r w:rsidRPr="004115BC">
        <w:rPr>
          <w:kern w:val="24"/>
        </w:rPr>
        <w:t>u</w:t>
      </w:r>
      <w:r w:rsidRPr="004115BC">
        <w:rPr>
          <w:kern w:val="24"/>
        </w:rPr>
        <w:t xml:space="preserve">striforeningen har alle kommenteret </w:t>
      </w:r>
      <w:r>
        <w:rPr>
          <w:kern w:val="24"/>
        </w:rPr>
        <w:t xml:space="preserve">på Medicinrådets </w:t>
      </w:r>
      <w:r w:rsidRPr="004115BC">
        <w:rPr>
          <w:kern w:val="24"/>
        </w:rPr>
        <w:t>mulighed for at indgå</w:t>
      </w:r>
      <w:r>
        <w:rPr>
          <w:kern w:val="24"/>
        </w:rPr>
        <w:t xml:space="preserve"> i </w:t>
      </w:r>
      <w:r w:rsidRPr="004115BC">
        <w:rPr>
          <w:kern w:val="24"/>
        </w:rPr>
        <w:t>dialog med lægemiddelproducenterne.</w:t>
      </w:r>
      <w:r>
        <w:rPr>
          <w:kern w:val="24"/>
        </w:rPr>
        <w:t xml:space="preserve"> </w:t>
      </w:r>
      <w:r w:rsidRPr="004115BC">
        <w:rPr>
          <w:kern w:val="24"/>
        </w:rPr>
        <w:t>Der er modsatrettede hensyn, idet Lægemiddelindustriforeningen og deres medlemsvirksomheder ønsker en så tidlig dialog som mulig, mens de øvrige aktører har peget på, om det er formålstjenligt at starte op inden, at der foreligger en positive opinion fra Det Europæiske Lægemiddelagentur (EMA).</w:t>
      </w:r>
    </w:p>
    <w:p w:rsidR="005A79E4" w:rsidRDefault="005A79E4" w:rsidP="005A79E4">
      <w:pPr>
        <w:rPr>
          <w:kern w:val="24"/>
        </w:rPr>
      </w:pPr>
    </w:p>
    <w:p w:rsidR="005A79E4" w:rsidRPr="004115BC" w:rsidRDefault="005A79E4" w:rsidP="005A79E4">
      <w:pPr>
        <w:rPr>
          <w:kern w:val="24"/>
        </w:rPr>
      </w:pPr>
      <w:r>
        <w:rPr>
          <w:kern w:val="24"/>
        </w:rPr>
        <w:t xml:space="preserve">Danske Regioner fastholder forslaget om, at Medicinrådet kan </w:t>
      </w:r>
      <w:r w:rsidRPr="004115BC">
        <w:rPr>
          <w:kern w:val="24"/>
        </w:rPr>
        <w:t xml:space="preserve">starte op 150 dage </w:t>
      </w:r>
      <w:r>
        <w:rPr>
          <w:kern w:val="24"/>
        </w:rPr>
        <w:t xml:space="preserve">inde i </w:t>
      </w:r>
      <w:r w:rsidRPr="004115BC">
        <w:rPr>
          <w:kern w:val="24"/>
        </w:rPr>
        <w:t>EMA’s godkendelse</w:t>
      </w:r>
      <w:r>
        <w:rPr>
          <w:kern w:val="24"/>
        </w:rPr>
        <w:t>sprocedure</w:t>
      </w:r>
      <w:r w:rsidRPr="004115BC">
        <w:rPr>
          <w:kern w:val="24"/>
        </w:rPr>
        <w:t xml:space="preserve">. </w:t>
      </w:r>
    </w:p>
    <w:p w:rsidR="005A79E4" w:rsidRDefault="005A79E4" w:rsidP="005A79E4">
      <w:pPr>
        <w:rPr>
          <w:kern w:val="24"/>
        </w:rPr>
      </w:pPr>
    </w:p>
    <w:p w:rsidR="005A79E4" w:rsidRPr="004115BC" w:rsidRDefault="005A79E4" w:rsidP="005A79E4">
      <w:pPr>
        <w:rPr>
          <w:b/>
          <w:kern w:val="24"/>
        </w:rPr>
      </w:pPr>
      <w:r w:rsidRPr="004115BC">
        <w:rPr>
          <w:b/>
          <w:kern w:val="24"/>
        </w:rPr>
        <w:t>Bagatelgrænse, valg mellem ”Nye Lægemidler” vs. ”Terapiområder”, sjældne sygdomme</w:t>
      </w:r>
    </w:p>
    <w:p w:rsidR="005A79E4" w:rsidRDefault="005A79E4" w:rsidP="005A79E4">
      <w:pPr>
        <w:rPr>
          <w:kern w:val="24"/>
        </w:rPr>
      </w:pPr>
      <w:r w:rsidRPr="004115BC">
        <w:rPr>
          <w:kern w:val="24"/>
        </w:rPr>
        <w:t>Lægemiddelindustriforeningen, Amgen, Bristol-Myers Squibb, Danske P</w:t>
      </w:r>
      <w:r w:rsidRPr="004115BC">
        <w:rPr>
          <w:kern w:val="24"/>
        </w:rPr>
        <w:t>a</w:t>
      </w:r>
      <w:r w:rsidRPr="004115BC">
        <w:rPr>
          <w:kern w:val="24"/>
        </w:rPr>
        <w:t xml:space="preserve">tienter, Sjældne Diagnoser, Cystisk Fibrose Forening, Otsuka og Danske </w:t>
      </w:r>
      <w:r w:rsidRPr="004115BC">
        <w:rPr>
          <w:kern w:val="24"/>
        </w:rPr>
        <w:lastRenderedPageBreak/>
        <w:t>Handicaporganisationer har alle i varierende grad spurgt til, om der er en bagatelgrænse for, hvornår et nyt lægemiddel/ny indikation ikke skal ige</w:t>
      </w:r>
      <w:r w:rsidRPr="004115BC">
        <w:rPr>
          <w:kern w:val="24"/>
        </w:rPr>
        <w:t>n</w:t>
      </w:r>
      <w:r w:rsidRPr="004115BC">
        <w:rPr>
          <w:kern w:val="24"/>
        </w:rPr>
        <w:t xml:space="preserve">nem Medicinrådets procedure for nye lægemidler. </w:t>
      </w:r>
    </w:p>
    <w:p w:rsidR="005A79E4" w:rsidRDefault="005A79E4" w:rsidP="005A79E4">
      <w:pPr>
        <w:rPr>
          <w:kern w:val="24"/>
        </w:rPr>
      </w:pPr>
    </w:p>
    <w:p w:rsidR="00FB6D33" w:rsidRDefault="00017E56" w:rsidP="00017E56">
      <w:pPr>
        <w:rPr>
          <w:kern w:val="24"/>
        </w:rPr>
      </w:pPr>
      <w:r w:rsidRPr="00017E56">
        <w:rPr>
          <w:kern w:val="24"/>
        </w:rPr>
        <w:t xml:space="preserve">Udgangspunktet er, at alle nye lægemidler skal </w:t>
      </w:r>
      <w:r w:rsidR="00FB6D33">
        <w:rPr>
          <w:kern w:val="24"/>
        </w:rPr>
        <w:t>vurderes efter metoden for nye lægemidler</w:t>
      </w:r>
      <w:r w:rsidRPr="00017E56">
        <w:rPr>
          <w:kern w:val="24"/>
        </w:rPr>
        <w:t xml:space="preserve"> Det er for at sikre, at Medicinrådet kan komme med en e</w:t>
      </w:r>
      <w:r w:rsidRPr="00017E56">
        <w:rPr>
          <w:kern w:val="24"/>
        </w:rPr>
        <w:t>n</w:t>
      </w:r>
      <w:r w:rsidRPr="00017E56">
        <w:rPr>
          <w:kern w:val="24"/>
        </w:rPr>
        <w:t>delig anbefaling efter 3 måneder. Processen for fælles regionale behan</w:t>
      </w:r>
      <w:r w:rsidRPr="00017E56">
        <w:rPr>
          <w:kern w:val="24"/>
        </w:rPr>
        <w:t>d</w:t>
      </w:r>
      <w:r w:rsidRPr="00017E56">
        <w:rPr>
          <w:kern w:val="24"/>
        </w:rPr>
        <w:t>lingsvejledninger er et større arbejde, som tager længere tid at gennemføre.</w:t>
      </w:r>
    </w:p>
    <w:p w:rsidR="00017E56" w:rsidRPr="00017E56" w:rsidRDefault="00017E56" w:rsidP="00017E56">
      <w:pPr>
        <w:rPr>
          <w:kern w:val="24"/>
        </w:rPr>
      </w:pPr>
      <w:r w:rsidRPr="00017E56">
        <w:rPr>
          <w:kern w:val="24"/>
        </w:rPr>
        <w:t xml:space="preserve"> </w:t>
      </w:r>
    </w:p>
    <w:p w:rsidR="00017E56" w:rsidRDefault="00017E56" w:rsidP="00017E56">
      <w:pPr>
        <w:rPr>
          <w:kern w:val="24"/>
        </w:rPr>
      </w:pPr>
      <w:r w:rsidRPr="00017E56">
        <w:rPr>
          <w:kern w:val="24"/>
        </w:rPr>
        <w:t xml:space="preserve">Det kan i nogle tilfælde være hensigtsmæssigt, at et nyt lægemiddel i stedet vurderes efter den faglige metode for vurdering af terapiområder, hvis der er enighed mellem Medicinrådet og lægemiddelvirksomheder herom. Det vil oftest være i de tilfælde, hvor det vurderes, at lægemidlet ikke tilfører yderligere </w:t>
      </w:r>
      <w:r w:rsidR="001F02D5">
        <w:rPr>
          <w:kern w:val="24"/>
        </w:rPr>
        <w:t xml:space="preserve">klinisk </w:t>
      </w:r>
      <w:r w:rsidRPr="00017E56">
        <w:rPr>
          <w:kern w:val="24"/>
        </w:rPr>
        <w:t>merværdi end eksisterende lægemidler.</w:t>
      </w:r>
      <w:r w:rsidR="00FB6D33">
        <w:rPr>
          <w:kern w:val="24"/>
        </w:rPr>
        <w:t xml:space="preserve"> </w:t>
      </w:r>
      <w:r w:rsidRPr="00017E56">
        <w:rPr>
          <w:kern w:val="24"/>
        </w:rPr>
        <w:t>Praksis for, hvo</w:t>
      </w:r>
      <w:r w:rsidRPr="00017E56">
        <w:rPr>
          <w:kern w:val="24"/>
        </w:rPr>
        <w:t>r</w:t>
      </w:r>
      <w:r w:rsidRPr="00017E56">
        <w:rPr>
          <w:kern w:val="24"/>
        </w:rPr>
        <w:t>dan lægemidler kan indgå direkte i et terapio</w:t>
      </w:r>
      <w:r w:rsidR="001F02D5">
        <w:rPr>
          <w:kern w:val="24"/>
        </w:rPr>
        <w:t>m</w:t>
      </w:r>
      <w:r w:rsidRPr="00017E56">
        <w:rPr>
          <w:kern w:val="24"/>
        </w:rPr>
        <w:t>råde, vil udvikle sig i takt med, at Medicinrådet opnår mere erfaring.</w:t>
      </w:r>
    </w:p>
    <w:p w:rsidR="00FB6D33" w:rsidRDefault="00FB6D33" w:rsidP="00017E56">
      <w:pPr>
        <w:rPr>
          <w:kern w:val="24"/>
        </w:rPr>
      </w:pPr>
    </w:p>
    <w:p w:rsidR="005A79E4" w:rsidRPr="00D52DD5" w:rsidRDefault="005A79E4" w:rsidP="005A79E4">
      <w:pPr>
        <w:rPr>
          <w:kern w:val="24"/>
        </w:rPr>
      </w:pPr>
      <w:r w:rsidRPr="00D52DD5">
        <w:rPr>
          <w:kern w:val="24"/>
        </w:rPr>
        <w:t>Det anerkendes</w:t>
      </w:r>
      <w:r>
        <w:rPr>
          <w:kern w:val="24"/>
        </w:rPr>
        <w:t xml:space="preserve"> samtidig</w:t>
      </w:r>
      <w:r w:rsidRPr="00D52DD5">
        <w:rPr>
          <w:kern w:val="24"/>
        </w:rPr>
        <w:t>, at studier af behandling af sjældne sygdomme kan være behæftet med større usikkerhed. Dertil er det Medicinrådets erklærede opgave, at medtage de af Folketinget vedtagne principper for prioritering, i deres beslutningstagning. Deraf fremgår det tydeligt, at der skal sikres a</w:t>
      </w:r>
      <w:r w:rsidRPr="00D52DD5">
        <w:rPr>
          <w:kern w:val="24"/>
        </w:rPr>
        <w:t>d</w:t>
      </w:r>
      <w:r w:rsidRPr="00D52DD5">
        <w:rPr>
          <w:kern w:val="24"/>
        </w:rPr>
        <w:t>gang til behandling for både små og store patientgrupper samt for både p</w:t>
      </w:r>
      <w:r w:rsidRPr="00D52DD5">
        <w:rPr>
          <w:kern w:val="24"/>
        </w:rPr>
        <w:t>a</w:t>
      </w:r>
      <w:r w:rsidRPr="00D52DD5">
        <w:rPr>
          <w:kern w:val="24"/>
        </w:rPr>
        <w:t xml:space="preserve">tienter med sjældne og mere gængse lidelser. </w:t>
      </w:r>
    </w:p>
    <w:p w:rsidR="005A79E4" w:rsidRPr="004115BC" w:rsidRDefault="005A79E4" w:rsidP="005A79E4">
      <w:pPr>
        <w:rPr>
          <w:kern w:val="24"/>
        </w:rPr>
      </w:pPr>
    </w:p>
    <w:p w:rsidR="005A79E4" w:rsidRDefault="005A79E4" w:rsidP="005A79E4">
      <w:pPr>
        <w:rPr>
          <w:b/>
          <w:kern w:val="24"/>
        </w:rPr>
      </w:pPr>
      <w:r w:rsidRPr="004115BC">
        <w:rPr>
          <w:b/>
          <w:kern w:val="24"/>
        </w:rPr>
        <w:t>Mulighed for at anvende lægemidler der ikke er godkendt til standar</w:t>
      </w:r>
      <w:r w:rsidRPr="004115BC">
        <w:rPr>
          <w:b/>
          <w:kern w:val="24"/>
        </w:rPr>
        <w:t>d</w:t>
      </w:r>
      <w:r w:rsidRPr="004115BC">
        <w:rPr>
          <w:b/>
          <w:kern w:val="24"/>
        </w:rPr>
        <w:t>behandling</w:t>
      </w:r>
    </w:p>
    <w:p w:rsidR="005A79E4" w:rsidRDefault="005A79E4" w:rsidP="005A79E4">
      <w:pPr>
        <w:rPr>
          <w:kern w:val="24"/>
        </w:rPr>
      </w:pPr>
      <w:r w:rsidRPr="004115BC">
        <w:rPr>
          <w:kern w:val="24"/>
        </w:rPr>
        <w:t>Lægemiddelindustriforeningen har spurgt til, hvordan retningslinjerne bl</w:t>
      </w:r>
      <w:r w:rsidRPr="004115BC">
        <w:rPr>
          <w:kern w:val="24"/>
        </w:rPr>
        <w:t>i</w:t>
      </w:r>
      <w:r w:rsidRPr="004115BC">
        <w:rPr>
          <w:kern w:val="24"/>
        </w:rPr>
        <w:t>ver for at anvende lægemidler, der ikke opnår godkendelse som standar</w:t>
      </w:r>
      <w:r w:rsidRPr="004115BC">
        <w:rPr>
          <w:kern w:val="24"/>
        </w:rPr>
        <w:t>d</w:t>
      </w:r>
      <w:r w:rsidRPr="004115BC">
        <w:rPr>
          <w:kern w:val="24"/>
        </w:rPr>
        <w:t>behandling.</w:t>
      </w:r>
    </w:p>
    <w:p w:rsidR="005A79E4" w:rsidRPr="004115BC" w:rsidRDefault="005A79E4" w:rsidP="005A79E4">
      <w:pPr>
        <w:rPr>
          <w:kern w:val="24"/>
        </w:rPr>
      </w:pPr>
    </w:p>
    <w:p w:rsidR="005A79E4" w:rsidRDefault="005A79E4" w:rsidP="005A79E4">
      <w:pPr>
        <w:rPr>
          <w:kern w:val="24"/>
        </w:rPr>
      </w:pPr>
      <w:r w:rsidRPr="004115BC">
        <w:rPr>
          <w:kern w:val="24"/>
        </w:rPr>
        <w:t xml:space="preserve">Når et lægemiddel ikke bliver anbefalet som standardbehandling skyldes det, at lægemidlet </w:t>
      </w:r>
      <w:r w:rsidR="001F02D5">
        <w:rPr>
          <w:kern w:val="24"/>
        </w:rPr>
        <w:t>har negativ klinisk merværdi</w:t>
      </w:r>
      <w:r w:rsidRPr="004115BC">
        <w:rPr>
          <w:kern w:val="24"/>
        </w:rPr>
        <w:t xml:space="preserve">, og/eller at den </w:t>
      </w:r>
      <w:r w:rsidR="001F02D5">
        <w:rPr>
          <w:kern w:val="24"/>
        </w:rPr>
        <w:t xml:space="preserve">kliniske </w:t>
      </w:r>
      <w:r w:rsidRPr="004115BC">
        <w:rPr>
          <w:kern w:val="24"/>
        </w:rPr>
        <w:t xml:space="preserve">merværdi ikke er stor nok til at retfærdiggøre det nye lægemiddels </w:t>
      </w:r>
      <w:r w:rsidR="001F02D5">
        <w:rPr>
          <w:kern w:val="24"/>
        </w:rPr>
        <w:t>omkos</w:t>
      </w:r>
      <w:r w:rsidR="001F02D5">
        <w:rPr>
          <w:kern w:val="24"/>
        </w:rPr>
        <w:t>t</w:t>
      </w:r>
      <w:r w:rsidR="001F02D5">
        <w:rPr>
          <w:kern w:val="24"/>
        </w:rPr>
        <w:t>ninger</w:t>
      </w:r>
      <w:r w:rsidRPr="004115BC">
        <w:rPr>
          <w:kern w:val="24"/>
        </w:rPr>
        <w:t xml:space="preserve"> sammenlignet med eksisterende standardbehandling. </w:t>
      </w:r>
    </w:p>
    <w:p w:rsidR="005A79E4" w:rsidRPr="004115BC" w:rsidRDefault="005A79E4" w:rsidP="005A79E4">
      <w:pPr>
        <w:rPr>
          <w:kern w:val="24"/>
        </w:rPr>
      </w:pPr>
    </w:p>
    <w:p w:rsidR="005A79E4" w:rsidRPr="004115BC" w:rsidRDefault="005A79E4" w:rsidP="005A79E4">
      <w:pPr>
        <w:rPr>
          <w:kern w:val="24"/>
        </w:rPr>
      </w:pPr>
      <w:r w:rsidRPr="004115BC">
        <w:rPr>
          <w:kern w:val="24"/>
        </w:rPr>
        <w:t xml:space="preserve">Medicinrådet og regionerne vil imidlertid leve op til Folketingets principper for prioritering af sygehusmedicin, herunder princippet om, at det skal være muligt ud fra en konkret lægefaglig vurdering at behandle med lægemidler, som er afvist til standardbehandling. </w:t>
      </w:r>
    </w:p>
    <w:p w:rsidR="005A79E4" w:rsidRPr="004115BC" w:rsidRDefault="005A79E4" w:rsidP="005A79E4">
      <w:pPr>
        <w:rPr>
          <w:kern w:val="24"/>
        </w:rPr>
      </w:pPr>
    </w:p>
    <w:p w:rsidR="005A79E4" w:rsidRDefault="005A79E4" w:rsidP="005A79E4">
      <w:pPr>
        <w:rPr>
          <w:kern w:val="24"/>
        </w:rPr>
      </w:pPr>
      <w:r w:rsidRPr="004115BC">
        <w:rPr>
          <w:kern w:val="24"/>
        </w:rPr>
        <w:lastRenderedPageBreak/>
        <w:t xml:space="preserve">Det vil derfor også fortsat være op til den enkelte læge at vurdere, hvilken medicin der er bedst for den enkelte patient. Lægen skal dog have en særlig faglig begrundelse for at afvige fra Medicinrådets faglige anbefalinger. </w:t>
      </w:r>
    </w:p>
    <w:p w:rsidR="005A79E4" w:rsidRPr="004115BC" w:rsidRDefault="005A79E4" w:rsidP="005A79E4">
      <w:pPr>
        <w:rPr>
          <w:kern w:val="24"/>
        </w:rPr>
      </w:pPr>
    </w:p>
    <w:p w:rsidR="005A79E4" w:rsidRDefault="005A79E4" w:rsidP="005A79E4">
      <w:pPr>
        <w:rPr>
          <w:kern w:val="24"/>
        </w:rPr>
      </w:pPr>
      <w:r w:rsidRPr="004115BC">
        <w:rPr>
          <w:kern w:val="24"/>
        </w:rPr>
        <w:t>Anvendelsen af ikke-anbefalede lægemidler vil blive fulgt i de regionale lægemiddelkomiteer og på tværs af regionerne med henblik på at sikre alle patienter ensartet og lige adgang til lægemidler.</w:t>
      </w:r>
    </w:p>
    <w:p w:rsidR="005A79E4" w:rsidRPr="004115BC" w:rsidRDefault="005A79E4" w:rsidP="005A79E4">
      <w:pPr>
        <w:rPr>
          <w:kern w:val="24"/>
        </w:rPr>
      </w:pPr>
    </w:p>
    <w:p w:rsidR="005A79E4" w:rsidRPr="004115BC" w:rsidRDefault="005A79E4" w:rsidP="005A79E4">
      <w:pPr>
        <w:rPr>
          <w:b/>
          <w:kern w:val="24"/>
        </w:rPr>
      </w:pPr>
      <w:r w:rsidRPr="004115BC">
        <w:rPr>
          <w:b/>
          <w:kern w:val="24"/>
        </w:rPr>
        <w:t xml:space="preserve">Høring af andre leverandører end den ansøgende virksomhed/offentlig høring </w:t>
      </w:r>
    </w:p>
    <w:p w:rsidR="005A79E4" w:rsidRDefault="005A79E4" w:rsidP="005A79E4">
      <w:pPr>
        <w:rPr>
          <w:kern w:val="24"/>
        </w:rPr>
      </w:pPr>
      <w:r w:rsidRPr="004115BC">
        <w:rPr>
          <w:kern w:val="24"/>
        </w:rPr>
        <w:t>Lægevidenskabelige Selskaber, Sundhedsstyrelsen, Lægeforeningen og Biogen har spurgt til, om høringsprocessen bør justeres, så andre virkso</w:t>
      </w:r>
      <w:r w:rsidRPr="004115BC">
        <w:rPr>
          <w:kern w:val="24"/>
        </w:rPr>
        <w:t>m</w:t>
      </w:r>
      <w:r w:rsidRPr="004115BC">
        <w:rPr>
          <w:kern w:val="24"/>
        </w:rPr>
        <w:t xml:space="preserve">heder end ansøger høres </w:t>
      </w:r>
      <w:r w:rsidR="001F02D5">
        <w:rPr>
          <w:kern w:val="24"/>
        </w:rPr>
        <w:t>i forhold til den foreløbige kategorisering af læg</w:t>
      </w:r>
      <w:r w:rsidR="001F02D5">
        <w:rPr>
          <w:kern w:val="24"/>
        </w:rPr>
        <w:t>e</w:t>
      </w:r>
      <w:r w:rsidR="001F02D5">
        <w:rPr>
          <w:kern w:val="24"/>
        </w:rPr>
        <w:t>midlets kliniske merværdi</w:t>
      </w:r>
      <w:r w:rsidRPr="004115BC">
        <w:rPr>
          <w:kern w:val="24"/>
        </w:rPr>
        <w:t>. Der er også blevet spurgt til, om virksomhede</w:t>
      </w:r>
      <w:r w:rsidRPr="004115BC">
        <w:rPr>
          <w:kern w:val="24"/>
        </w:rPr>
        <w:t>r</w:t>
      </w:r>
      <w:r w:rsidRPr="004115BC">
        <w:rPr>
          <w:kern w:val="24"/>
        </w:rPr>
        <w:t>ne kan få udkast til Medicinr</w:t>
      </w:r>
      <w:r>
        <w:rPr>
          <w:kern w:val="24"/>
        </w:rPr>
        <w:t>å</w:t>
      </w:r>
      <w:r w:rsidRPr="004115BC">
        <w:rPr>
          <w:kern w:val="24"/>
        </w:rPr>
        <w:t>dets behandlingsvejledninger i høring.</w:t>
      </w:r>
    </w:p>
    <w:p w:rsidR="005A79E4" w:rsidRPr="004115BC" w:rsidRDefault="005A79E4" w:rsidP="005A79E4">
      <w:pPr>
        <w:rPr>
          <w:kern w:val="24"/>
        </w:rPr>
      </w:pPr>
    </w:p>
    <w:p w:rsidR="005A79E4" w:rsidRPr="004115BC" w:rsidRDefault="005A79E4" w:rsidP="005A79E4">
      <w:pPr>
        <w:rPr>
          <w:kern w:val="24"/>
        </w:rPr>
      </w:pPr>
      <w:r>
        <w:rPr>
          <w:kern w:val="24"/>
        </w:rPr>
        <w:t xml:space="preserve">Danske Regioner </w:t>
      </w:r>
      <w:r w:rsidRPr="004115BC">
        <w:rPr>
          <w:kern w:val="24"/>
        </w:rPr>
        <w:t>har af hensyn til patienternes forventning om hurtig ibrugtagning af nye lægemidler valgt, at det alene er den ansøgende vir</w:t>
      </w:r>
      <w:r w:rsidRPr="004115BC">
        <w:rPr>
          <w:kern w:val="24"/>
        </w:rPr>
        <w:t>k</w:t>
      </w:r>
      <w:r w:rsidRPr="004115BC">
        <w:rPr>
          <w:kern w:val="24"/>
        </w:rPr>
        <w:t>somhed som høres.</w:t>
      </w:r>
      <w:r>
        <w:rPr>
          <w:kern w:val="24"/>
        </w:rPr>
        <w:t xml:space="preserve"> Såfremt der er usikkerhed om de oplysninger, som den ansøgende virksomhed har fremsendt om komparator (den standardbehan</w:t>
      </w:r>
      <w:r>
        <w:rPr>
          <w:kern w:val="24"/>
        </w:rPr>
        <w:t>d</w:t>
      </w:r>
      <w:r>
        <w:rPr>
          <w:kern w:val="24"/>
        </w:rPr>
        <w:t>ling det ansøgende produkt sammenlignes med), kan Medicinrådet vælge at også at høre den virksomhed, der har markedsføringstilladelsen til komp</w:t>
      </w:r>
      <w:r>
        <w:rPr>
          <w:kern w:val="24"/>
        </w:rPr>
        <w:t>a</w:t>
      </w:r>
      <w:r>
        <w:rPr>
          <w:kern w:val="24"/>
        </w:rPr>
        <w:t>ratorproduktet.</w:t>
      </w:r>
    </w:p>
    <w:p w:rsidR="005A79E4" w:rsidRPr="004115BC" w:rsidRDefault="005A79E4" w:rsidP="005A79E4">
      <w:pPr>
        <w:rPr>
          <w:kern w:val="24"/>
        </w:rPr>
      </w:pPr>
      <w:r w:rsidRPr="004115BC">
        <w:rPr>
          <w:kern w:val="24"/>
        </w:rPr>
        <w:t xml:space="preserve"> </w:t>
      </w:r>
    </w:p>
    <w:p w:rsidR="005A79E4" w:rsidRPr="004115BC" w:rsidRDefault="005A79E4" w:rsidP="005A79E4">
      <w:pPr>
        <w:rPr>
          <w:b/>
          <w:kern w:val="24"/>
        </w:rPr>
      </w:pPr>
      <w:r w:rsidRPr="004115BC">
        <w:rPr>
          <w:b/>
          <w:kern w:val="24"/>
        </w:rPr>
        <w:t>Anvendelse af GRADE-metoden i Medicinrådet</w:t>
      </w:r>
    </w:p>
    <w:p w:rsidR="005A79E4" w:rsidRPr="004115BC" w:rsidRDefault="005A79E4" w:rsidP="005A79E4">
      <w:pPr>
        <w:rPr>
          <w:kern w:val="24"/>
        </w:rPr>
      </w:pPr>
      <w:r w:rsidRPr="004115BC">
        <w:rPr>
          <w:kern w:val="24"/>
        </w:rPr>
        <w:t xml:space="preserve">Lægevidenskabelige Selskaber og Sundhedsstyrelsen og Lægeforeningen har alle spurgt ind til Medicinrådets metodevalg, studiedesigns mv. </w:t>
      </w:r>
    </w:p>
    <w:p w:rsidR="005A79E4" w:rsidRPr="004115BC" w:rsidRDefault="005A79E4" w:rsidP="005A79E4">
      <w:pPr>
        <w:rPr>
          <w:kern w:val="24"/>
        </w:rPr>
      </w:pPr>
    </w:p>
    <w:p w:rsidR="005A79E4" w:rsidRPr="004115BC" w:rsidRDefault="005A79E4" w:rsidP="005A79E4">
      <w:pPr>
        <w:rPr>
          <w:kern w:val="24"/>
        </w:rPr>
      </w:pPr>
      <w:r w:rsidRPr="004115BC">
        <w:rPr>
          <w:kern w:val="24"/>
        </w:rPr>
        <w:t>Det kan oplyses, at Medicinrådets primære fokus vil være randomiserede kontrollerede studier. Dette er i tråd med GRADE-metoden, da man her primært lader anbefalinger bero på det højest mulige evidensniveau. Med</w:t>
      </w:r>
      <w:r w:rsidRPr="004115BC">
        <w:rPr>
          <w:kern w:val="24"/>
        </w:rPr>
        <w:t>i</w:t>
      </w:r>
      <w:r w:rsidRPr="004115BC">
        <w:rPr>
          <w:kern w:val="24"/>
        </w:rPr>
        <w:t>cinrådet vil inkludere andre typer af studiedesigns i sin vurdering i de ti</w:t>
      </w:r>
      <w:r w:rsidRPr="004115BC">
        <w:rPr>
          <w:kern w:val="24"/>
        </w:rPr>
        <w:t>l</w:t>
      </w:r>
      <w:r w:rsidRPr="004115BC">
        <w:rPr>
          <w:kern w:val="24"/>
        </w:rPr>
        <w:t xml:space="preserve">fælde hvor der ikke findes (tilstrækkelig) information fra randomiserede studier. </w:t>
      </w:r>
    </w:p>
    <w:p w:rsidR="005A79E4" w:rsidRPr="004115BC" w:rsidRDefault="005A79E4" w:rsidP="005A79E4">
      <w:pPr>
        <w:rPr>
          <w:b/>
          <w:kern w:val="24"/>
        </w:rPr>
      </w:pPr>
    </w:p>
    <w:p w:rsidR="005A79E4" w:rsidRPr="004115BC" w:rsidRDefault="005A79E4" w:rsidP="005A79E4">
      <w:pPr>
        <w:rPr>
          <w:b/>
          <w:kern w:val="24"/>
        </w:rPr>
      </w:pPr>
      <w:r w:rsidRPr="004115BC">
        <w:rPr>
          <w:b/>
          <w:kern w:val="24"/>
        </w:rPr>
        <w:t>Undtagelse om vurdering af merværdi for biosimilære lægemidler</w:t>
      </w:r>
    </w:p>
    <w:p w:rsidR="005A79E4" w:rsidRPr="004115BC" w:rsidRDefault="005A79E4" w:rsidP="005A79E4">
      <w:pPr>
        <w:rPr>
          <w:kern w:val="24"/>
        </w:rPr>
      </w:pPr>
      <w:r w:rsidRPr="004115BC">
        <w:rPr>
          <w:kern w:val="24"/>
        </w:rPr>
        <w:t>Danske Patienter er bekymrede for, at der er lagt op til, at Medicinrådet i</w:t>
      </w:r>
      <w:r w:rsidRPr="004115BC">
        <w:rPr>
          <w:kern w:val="24"/>
        </w:rPr>
        <w:t>k</w:t>
      </w:r>
      <w:r w:rsidRPr="004115BC">
        <w:rPr>
          <w:kern w:val="24"/>
        </w:rPr>
        <w:t>ke skal vurdere nye biosimilære lægemidler, da studier ifølge Danske Pat</w:t>
      </w:r>
      <w:r w:rsidRPr="004115BC">
        <w:rPr>
          <w:kern w:val="24"/>
        </w:rPr>
        <w:t>i</w:t>
      </w:r>
      <w:r w:rsidRPr="004115BC">
        <w:rPr>
          <w:kern w:val="24"/>
        </w:rPr>
        <w:t>enter har vist, at skifte til et biosimilært lægemiddel kan føre til effekttab samt flere bivirkninger. Foreningen finder derfor, at de biosimilære læg</w:t>
      </w:r>
      <w:r w:rsidRPr="004115BC">
        <w:rPr>
          <w:kern w:val="24"/>
        </w:rPr>
        <w:t>e</w:t>
      </w:r>
      <w:r w:rsidRPr="004115BC">
        <w:rPr>
          <w:kern w:val="24"/>
        </w:rPr>
        <w:t>midler bør være omfattet af Medicinrådets anbefalinger.</w:t>
      </w:r>
    </w:p>
    <w:p w:rsidR="005A79E4" w:rsidRPr="004115BC" w:rsidRDefault="005A79E4" w:rsidP="005A79E4">
      <w:pPr>
        <w:rPr>
          <w:kern w:val="24"/>
        </w:rPr>
      </w:pPr>
    </w:p>
    <w:p w:rsidR="001F0C8D" w:rsidRPr="001F0C8D" w:rsidRDefault="005A79E4" w:rsidP="001F0C8D">
      <w:pPr>
        <w:rPr>
          <w:kern w:val="24"/>
        </w:rPr>
      </w:pPr>
      <w:r w:rsidRPr="004115BC">
        <w:rPr>
          <w:kern w:val="24"/>
        </w:rPr>
        <w:t>Medicinrådet foretager overordnet set to typer af vurderinger; vurdering af nye lægemidler (eksklusiv generika og biosimilære lægemidler), og vurd</w:t>
      </w:r>
      <w:r w:rsidRPr="004115BC">
        <w:rPr>
          <w:kern w:val="24"/>
        </w:rPr>
        <w:t>e</w:t>
      </w:r>
      <w:r w:rsidRPr="004115BC">
        <w:rPr>
          <w:kern w:val="24"/>
        </w:rPr>
        <w:t>ring af flere lægemidler indenfor samme terapiområde (inklusiv generika og biosimilære lægemidler). Der er således lagt op til, at Medicinrådet ikke skal vurdere merværdien af nye biosimilære lægemidler</w:t>
      </w:r>
      <w:r w:rsidR="001F0C8D">
        <w:rPr>
          <w:kern w:val="24"/>
        </w:rPr>
        <w:t xml:space="preserve"> efter metoden for nye lægemidler</w:t>
      </w:r>
      <w:r w:rsidRPr="004115BC">
        <w:rPr>
          <w:kern w:val="24"/>
        </w:rPr>
        <w:t>, da de indeholder samme aktive stof som det originale bi</w:t>
      </w:r>
      <w:r w:rsidRPr="004115BC">
        <w:rPr>
          <w:kern w:val="24"/>
        </w:rPr>
        <w:t>o</w:t>
      </w:r>
      <w:r w:rsidRPr="004115BC">
        <w:rPr>
          <w:kern w:val="24"/>
        </w:rPr>
        <w:t xml:space="preserve">logiske produkt. </w:t>
      </w:r>
      <w:r w:rsidR="001F0C8D" w:rsidRPr="001F0C8D">
        <w:rPr>
          <w:kern w:val="24"/>
        </w:rPr>
        <w:t xml:space="preserve">Processen for vurdering af nye biosimilære lægemidler vil </w:t>
      </w:r>
      <w:r w:rsidR="001F0C8D">
        <w:rPr>
          <w:kern w:val="24"/>
        </w:rPr>
        <w:t xml:space="preserve">i stedet </w:t>
      </w:r>
      <w:r w:rsidR="001F0C8D" w:rsidRPr="001F0C8D">
        <w:rPr>
          <w:kern w:val="24"/>
        </w:rPr>
        <w:t>ske efter den praksis, som RADS hidtil har anlagt.</w:t>
      </w:r>
    </w:p>
    <w:p w:rsidR="005A79E4" w:rsidRPr="004115BC" w:rsidRDefault="005A79E4" w:rsidP="005A79E4">
      <w:pPr>
        <w:rPr>
          <w:kern w:val="24"/>
        </w:rPr>
      </w:pPr>
    </w:p>
    <w:p w:rsidR="005A79E4" w:rsidRPr="004115BC" w:rsidRDefault="005A79E4" w:rsidP="005A79E4">
      <w:pPr>
        <w:rPr>
          <w:b/>
          <w:kern w:val="24"/>
        </w:rPr>
      </w:pPr>
      <w:r w:rsidRPr="004115BC">
        <w:rPr>
          <w:b/>
          <w:kern w:val="24"/>
        </w:rPr>
        <w:t>Medicinrådet skal overveje muligheden for også at skifte velbehandl</w:t>
      </w:r>
      <w:r w:rsidRPr="004115BC">
        <w:rPr>
          <w:b/>
          <w:kern w:val="24"/>
        </w:rPr>
        <w:t>e</w:t>
      </w:r>
      <w:r w:rsidRPr="004115BC">
        <w:rPr>
          <w:b/>
          <w:kern w:val="24"/>
        </w:rPr>
        <w:t>de patienter</w:t>
      </w:r>
    </w:p>
    <w:p w:rsidR="005A79E4" w:rsidRPr="004115BC" w:rsidRDefault="005A79E4" w:rsidP="005A79E4">
      <w:pPr>
        <w:rPr>
          <w:kern w:val="24"/>
        </w:rPr>
      </w:pPr>
      <w:r w:rsidRPr="004115BC">
        <w:rPr>
          <w:kern w:val="24"/>
        </w:rPr>
        <w:t>Danske Patienter, FNUG (Foreningen af unge med gigt, Foreningen for rygsøjlegigt Morbus Bechterew og Patientforeningen HS Danmark), Bi</w:t>
      </w:r>
      <w:r w:rsidRPr="004115BC">
        <w:rPr>
          <w:kern w:val="24"/>
        </w:rPr>
        <w:t>o</w:t>
      </w:r>
      <w:r w:rsidRPr="004115BC">
        <w:rPr>
          <w:kern w:val="24"/>
        </w:rPr>
        <w:t>gen og Lægemiddelindustriforeningen udtrykker alle bekymring for, at M</w:t>
      </w:r>
      <w:r w:rsidRPr="004115BC">
        <w:rPr>
          <w:kern w:val="24"/>
        </w:rPr>
        <w:t>e</w:t>
      </w:r>
      <w:r w:rsidRPr="004115BC">
        <w:rPr>
          <w:kern w:val="24"/>
        </w:rPr>
        <w:t xml:space="preserve">dicinrådet skal overveje muligheden for skift </w:t>
      </w:r>
      <w:r>
        <w:rPr>
          <w:kern w:val="24"/>
        </w:rPr>
        <w:t xml:space="preserve">af </w:t>
      </w:r>
      <w:r w:rsidRPr="004115BC">
        <w:rPr>
          <w:kern w:val="24"/>
        </w:rPr>
        <w:t>velbehandlede patienter.</w:t>
      </w:r>
    </w:p>
    <w:p w:rsidR="005A79E4" w:rsidRPr="004115BC" w:rsidRDefault="005A79E4" w:rsidP="005A79E4">
      <w:pPr>
        <w:rPr>
          <w:kern w:val="24"/>
        </w:rPr>
      </w:pPr>
    </w:p>
    <w:p w:rsidR="005A79E4" w:rsidRPr="004115BC" w:rsidRDefault="005A79E4" w:rsidP="005A79E4">
      <w:pPr>
        <w:rPr>
          <w:kern w:val="24"/>
        </w:rPr>
      </w:pPr>
      <w:r w:rsidRPr="004115BC">
        <w:rPr>
          <w:kern w:val="24"/>
        </w:rPr>
        <w:t xml:space="preserve">Et </w:t>
      </w:r>
      <w:r>
        <w:rPr>
          <w:kern w:val="24"/>
        </w:rPr>
        <w:t xml:space="preserve">skift </w:t>
      </w:r>
      <w:r w:rsidRPr="004115BC">
        <w:rPr>
          <w:kern w:val="24"/>
        </w:rPr>
        <w:t>me</w:t>
      </w:r>
      <w:r>
        <w:rPr>
          <w:kern w:val="24"/>
        </w:rPr>
        <w:t xml:space="preserve">llem </w:t>
      </w:r>
      <w:r w:rsidRPr="004115BC">
        <w:rPr>
          <w:kern w:val="24"/>
        </w:rPr>
        <w:t xml:space="preserve">analoge lægemidler </w:t>
      </w:r>
      <w:r>
        <w:rPr>
          <w:kern w:val="24"/>
        </w:rPr>
        <w:t>(lægemidler med forskelligt indhold</w:t>
      </w:r>
      <w:r>
        <w:rPr>
          <w:kern w:val="24"/>
        </w:rPr>
        <w:t>s</w:t>
      </w:r>
      <w:r>
        <w:rPr>
          <w:kern w:val="24"/>
        </w:rPr>
        <w:t xml:space="preserve">stof) </w:t>
      </w:r>
      <w:r w:rsidRPr="004115BC">
        <w:rPr>
          <w:kern w:val="24"/>
        </w:rPr>
        <w:t>hos omhyggeligt udvalgte patienter</w:t>
      </w:r>
      <w:r w:rsidR="001F02D5">
        <w:rPr>
          <w:kern w:val="24"/>
        </w:rPr>
        <w:t>, der a</w:t>
      </w:r>
      <w:r w:rsidRPr="004115BC">
        <w:rPr>
          <w:kern w:val="24"/>
        </w:rPr>
        <w:t xml:space="preserve">llerede </w:t>
      </w:r>
      <w:r w:rsidR="001F02D5">
        <w:rPr>
          <w:kern w:val="24"/>
        </w:rPr>
        <w:t xml:space="preserve">er </w:t>
      </w:r>
      <w:r w:rsidRPr="004115BC">
        <w:rPr>
          <w:kern w:val="24"/>
        </w:rPr>
        <w:t>i behandling, vil</w:t>
      </w:r>
      <w:r>
        <w:rPr>
          <w:kern w:val="24"/>
        </w:rPr>
        <w:t xml:space="preserve"> naturligvis</w:t>
      </w:r>
      <w:r w:rsidRPr="004115BC">
        <w:rPr>
          <w:kern w:val="24"/>
        </w:rPr>
        <w:t xml:space="preserve"> kun </w:t>
      </w:r>
      <w:r>
        <w:rPr>
          <w:kern w:val="24"/>
        </w:rPr>
        <w:t xml:space="preserve">blive </w:t>
      </w:r>
      <w:r w:rsidRPr="004115BC">
        <w:rPr>
          <w:kern w:val="24"/>
        </w:rPr>
        <w:t>foretage</w:t>
      </w:r>
      <w:r>
        <w:rPr>
          <w:kern w:val="24"/>
        </w:rPr>
        <w:t>t</w:t>
      </w:r>
      <w:r w:rsidRPr="004115BC">
        <w:rPr>
          <w:kern w:val="24"/>
        </w:rPr>
        <w:t xml:space="preserve">, </w:t>
      </w:r>
      <w:r>
        <w:rPr>
          <w:kern w:val="24"/>
        </w:rPr>
        <w:t xml:space="preserve">hvis det vurderes at være </w:t>
      </w:r>
      <w:r w:rsidRPr="004115BC">
        <w:rPr>
          <w:kern w:val="24"/>
        </w:rPr>
        <w:t>lægefagligt fo</w:t>
      </w:r>
      <w:r w:rsidRPr="004115BC">
        <w:rPr>
          <w:kern w:val="24"/>
        </w:rPr>
        <w:t>r</w:t>
      </w:r>
      <w:r w:rsidRPr="004115BC">
        <w:rPr>
          <w:kern w:val="24"/>
        </w:rPr>
        <w:t xml:space="preserve">svarligt. </w:t>
      </w:r>
    </w:p>
    <w:p w:rsidR="005A79E4" w:rsidRPr="004115BC" w:rsidRDefault="005A79E4" w:rsidP="005A79E4">
      <w:pPr>
        <w:rPr>
          <w:kern w:val="24"/>
        </w:rPr>
      </w:pPr>
    </w:p>
    <w:p w:rsidR="005A79E4" w:rsidRPr="006A6A46" w:rsidRDefault="005A79E4" w:rsidP="005A79E4">
      <w:pPr>
        <w:rPr>
          <w:b/>
          <w:kern w:val="24"/>
        </w:rPr>
      </w:pPr>
      <w:r w:rsidRPr="006A6A46">
        <w:rPr>
          <w:b/>
          <w:kern w:val="24"/>
        </w:rPr>
        <w:t>Er det gavnligt med en øvre grænse for konfidensintervalle</w:t>
      </w:r>
      <w:r>
        <w:rPr>
          <w:b/>
          <w:kern w:val="24"/>
        </w:rPr>
        <w:t>r</w:t>
      </w:r>
    </w:p>
    <w:p w:rsidR="005A79E4" w:rsidRDefault="005A79E4" w:rsidP="005A79E4">
      <w:pPr>
        <w:rPr>
          <w:kern w:val="24"/>
        </w:rPr>
      </w:pPr>
      <w:r w:rsidRPr="004115BC">
        <w:rPr>
          <w:kern w:val="24"/>
        </w:rPr>
        <w:t xml:space="preserve">Biogen </w:t>
      </w:r>
      <w:r>
        <w:rPr>
          <w:kern w:val="24"/>
        </w:rPr>
        <w:t xml:space="preserve">beder om, at man genovervejer </w:t>
      </w:r>
      <w:r w:rsidRPr="004115BC">
        <w:rPr>
          <w:kern w:val="24"/>
        </w:rPr>
        <w:t xml:space="preserve">gavnligheden </w:t>
      </w:r>
      <w:r>
        <w:rPr>
          <w:kern w:val="24"/>
        </w:rPr>
        <w:t xml:space="preserve">en </w:t>
      </w:r>
      <w:r w:rsidRPr="004115BC">
        <w:rPr>
          <w:kern w:val="24"/>
        </w:rPr>
        <w:t>øvre grænse på konfidensintervalle</w:t>
      </w:r>
      <w:r>
        <w:rPr>
          <w:kern w:val="24"/>
        </w:rPr>
        <w:t>t (sikkerhedsgrænse)</w:t>
      </w:r>
      <w:r w:rsidRPr="004115BC">
        <w:rPr>
          <w:kern w:val="24"/>
        </w:rPr>
        <w:t>, når patienters gavn af én behan</w:t>
      </w:r>
      <w:r w:rsidRPr="004115BC">
        <w:rPr>
          <w:kern w:val="24"/>
        </w:rPr>
        <w:t>d</w:t>
      </w:r>
      <w:r w:rsidRPr="004115BC">
        <w:rPr>
          <w:kern w:val="24"/>
        </w:rPr>
        <w:t xml:space="preserve">ling frem for en anden evalueres. </w:t>
      </w:r>
    </w:p>
    <w:p w:rsidR="005A79E4" w:rsidRDefault="005A79E4" w:rsidP="005A79E4">
      <w:pPr>
        <w:rPr>
          <w:kern w:val="24"/>
        </w:rPr>
      </w:pPr>
    </w:p>
    <w:p w:rsidR="005A79E4" w:rsidRDefault="005A79E4" w:rsidP="005A79E4">
      <w:pPr>
        <w:rPr>
          <w:kern w:val="24"/>
        </w:rPr>
      </w:pPr>
      <w:r>
        <w:rPr>
          <w:kern w:val="24"/>
        </w:rPr>
        <w:t>Væsentlighedskriterierne og dermed anvendelse af konfidensintervallets øverste grænse udgør kun en</w:t>
      </w:r>
      <w:r w:rsidRPr="00703897">
        <w:rPr>
          <w:kern w:val="24"/>
        </w:rPr>
        <w:t xml:space="preserve"> del af den samlede bedømmelse af et læg</w:t>
      </w:r>
      <w:r w:rsidRPr="00703897">
        <w:rPr>
          <w:kern w:val="24"/>
        </w:rPr>
        <w:t>e</w:t>
      </w:r>
      <w:r w:rsidRPr="00703897">
        <w:rPr>
          <w:kern w:val="24"/>
        </w:rPr>
        <w:t>middels merværdi</w:t>
      </w:r>
      <w:r>
        <w:rPr>
          <w:kern w:val="24"/>
        </w:rPr>
        <w:t>.</w:t>
      </w:r>
      <w:r w:rsidRPr="00703897">
        <w:rPr>
          <w:kern w:val="24"/>
        </w:rPr>
        <w:t xml:space="preserve"> </w:t>
      </w:r>
      <w:r>
        <w:rPr>
          <w:kern w:val="24"/>
        </w:rPr>
        <w:t>Der er dermed ikke tale om, at konfidensintervallets ø</w:t>
      </w:r>
      <w:r>
        <w:rPr>
          <w:kern w:val="24"/>
        </w:rPr>
        <w:t>v</w:t>
      </w:r>
      <w:r>
        <w:rPr>
          <w:kern w:val="24"/>
        </w:rPr>
        <w:t xml:space="preserve">re grænse alene er det der afgør, </w:t>
      </w:r>
      <w:r w:rsidRPr="00703897">
        <w:rPr>
          <w:kern w:val="24"/>
        </w:rPr>
        <w:t>hvilken kategori et lægemiddel indplaceres</w:t>
      </w:r>
      <w:r>
        <w:rPr>
          <w:kern w:val="24"/>
        </w:rPr>
        <w:t xml:space="preserve"> i</w:t>
      </w:r>
      <w:r w:rsidRPr="00703897">
        <w:rPr>
          <w:kern w:val="24"/>
        </w:rPr>
        <w:t>.</w:t>
      </w:r>
      <w:r>
        <w:rPr>
          <w:kern w:val="24"/>
        </w:rPr>
        <w:t xml:space="preserve"> Punktestimatet (resultatet fra studiet) vil også indgå i vurderingen. </w:t>
      </w:r>
    </w:p>
    <w:p w:rsidR="005A79E4" w:rsidRDefault="005A79E4" w:rsidP="005A79E4">
      <w:pPr>
        <w:rPr>
          <w:kern w:val="24"/>
        </w:rPr>
      </w:pPr>
    </w:p>
    <w:p w:rsidR="005A79E4" w:rsidRPr="00703897" w:rsidRDefault="005A79E4" w:rsidP="005A79E4">
      <w:pPr>
        <w:rPr>
          <w:kern w:val="24"/>
        </w:rPr>
      </w:pPr>
      <w:r>
        <w:rPr>
          <w:kern w:val="24"/>
        </w:rPr>
        <w:t>Når man har valgt at anvende internationalt anerkendte væsentlighedskrit</w:t>
      </w:r>
      <w:r>
        <w:rPr>
          <w:kern w:val="24"/>
        </w:rPr>
        <w:t>e</w:t>
      </w:r>
      <w:r>
        <w:rPr>
          <w:kern w:val="24"/>
        </w:rPr>
        <w:t xml:space="preserve">rier og den øverste grænse for konfidensintervallet er det for at </w:t>
      </w:r>
      <w:r w:rsidRPr="00703897">
        <w:rPr>
          <w:kern w:val="24"/>
        </w:rPr>
        <w:t>skabe si</w:t>
      </w:r>
      <w:r w:rsidRPr="00703897">
        <w:rPr>
          <w:kern w:val="24"/>
        </w:rPr>
        <w:t>k</w:t>
      </w:r>
      <w:r w:rsidRPr="00703897">
        <w:rPr>
          <w:kern w:val="24"/>
        </w:rPr>
        <w:t>kerhed for, at den sande værdi af effekten er lig eller bedre end væsentli</w:t>
      </w:r>
      <w:r w:rsidRPr="00703897">
        <w:rPr>
          <w:kern w:val="24"/>
        </w:rPr>
        <w:t>g</w:t>
      </w:r>
      <w:r w:rsidRPr="00703897">
        <w:rPr>
          <w:kern w:val="24"/>
        </w:rPr>
        <w:t>hedskriteriet. Det sikrer også at anvendte estimater er statistik signifikante. Væsentlighedskriterierne er generiske.</w:t>
      </w:r>
    </w:p>
    <w:p w:rsidR="005A79E4" w:rsidRDefault="005A79E4" w:rsidP="005A79E4">
      <w:pPr>
        <w:rPr>
          <w:kern w:val="24"/>
        </w:rPr>
      </w:pPr>
    </w:p>
    <w:p w:rsidR="005A79E4" w:rsidRDefault="005A79E4" w:rsidP="005A79E4">
      <w:pPr>
        <w:rPr>
          <w:kern w:val="24"/>
        </w:rPr>
      </w:pPr>
      <w:r>
        <w:rPr>
          <w:kern w:val="24"/>
        </w:rPr>
        <w:t xml:space="preserve">I </w:t>
      </w:r>
      <w:r w:rsidRPr="00703897">
        <w:rPr>
          <w:kern w:val="24"/>
        </w:rPr>
        <w:t>vurderingen</w:t>
      </w:r>
      <w:r>
        <w:rPr>
          <w:kern w:val="24"/>
        </w:rPr>
        <w:t xml:space="preserve"> af et lægemiddels merværdi sammenlignet med den eksist</w:t>
      </w:r>
      <w:r>
        <w:rPr>
          <w:kern w:val="24"/>
        </w:rPr>
        <w:t>e</w:t>
      </w:r>
      <w:r>
        <w:rPr>
          <w:kern w:val="24"/>
        </w:rPr>
        <w:t xml:space="preserve">rende standardbehandling indgår derudover en række forskellige </w:t>
      </w:r>
      <w:r w:rsidRPr="00703897">
        <w:rPr>
          <w:kern w:val="24"/>
        </w:rPr>
        <w:t>faktorer:</w:t>
      </w:r>
    </w:p>
    <w:p w:rsidR="005A79E4" w:rsidRPr="00703897" w:rsidRDefault="005A79E4" w:rsidP="005A79E4">
      <w:pPr>
        <w:rPr>
          <w:kern w:val="24"/>
        </w:rPr>
      </w:pPr>
    </w:p>
    <w:p w:rsidR="005A79E4" w:rsidRPr="00703897" w:rsidRDefault="005A79E4" w:rsidP="005A79E4">
      <w:pPr>
        <w:numPr>
          <w:ilvl w:val="0"/>
          <w:numId w:val="8"/>
        </w:numPr>
        <w:ind w:left="851" w:hanging="491"/>
        <w:rPr>
          <w:kern w:val="24"/>
        </w:rPr>
      </w:pPr>
      <w:r w:rsidRPr="00703897">
        <w:rPr>
          <w:kern w:val="24"/>
        </w:rPr>
        <w:t>Vægtning af effektmål – hvilke effektmål er centrale for det givne sygdomsområde. Denne afvejning sker under indflydelse af både fagudvalgets kliniske eksperter, samt patientrepræsentanten under hensyntagen til den konkrete sygdom.</w:t>
      </w:r>
    </w:p>
    <w:p w:rsidR="005A79E4" w:rsidRPr="00703897" w:rsidRDefault="005A79E4" w:rsidP="005A79E4">
      <w:pPr>
        <w:numPr>
          <w:ilvl w:val="0"/>
          <w:numId w:val="8"/>
        </w:numPr>
        <w:ind w:left="851" w:hanging="491"/>
        <w:rPr>
          <w:kern w:val="24"/>
        </w:rPr>
      </w:pPr>
      <w:r w:rsidRPr="00703897">
        <w:rPr>
          <w:kern w:val="24"/>
        </w:rPr>
        <w:t xml:space="preserve">Vurdering af lægemidlets absolutte effekt sammenholdt med de klinisk relevante forskelle. </w:t>
      </w:r>
    </w:p>
    <w:p w:rsidR="005A79E4" w:rsidRPr="00703897" w:rsidRDefault="005A79E4" w:rsidP="005A79E4">
      <w:pPr>
        <w:numPr>
          <w:ilvl w:val="0"/>
          <w:numId w:val="8"/>
        </w:numPr>
        <w:ind w:left="851" w:hanging="491"/>
        <w:rPr>
          <w:kern w:val="24"/>
        </w:rPr>
      </w:pPr>
      <w:r w:rsidRPr="00703897">
        <w:rPr>
          <w:kern w:val="24"/>
        </w:rPr>
        <w:t xml:space="preserve">Vurdering af evidensens kvalitet. </w:t>
      </w:r>
    </w:p>
    <w:p w:rsidR="005A79E4" w:rsidRDefault="005A79E4" w:rsidP="005A79E4">
      <w:pPr>
        <w:rPr>
          <w:kern w:val="24"/>
        </w:rPr>
      </w:pPr>
    </w:p>
    <w:p w:rsidR="005A79E4" w:rsidRPr="0096520F" w:rsidRDefault="005A79E4" w:rsidP="005A79E4">
      <w:pPr>
        <w:rPr>
          <w:b/>
          <w:kern w:val="24"/>
        </w:rPr>
      </w:pPr>
      <w:r w:rsidRPr="0096520F">
        <w:rPr>
          <w:b/>
          <w:kern w:val="24"/>
        </w:rPr>
        <w:t>Den ansøgende virksomhed skal fremsende materiale vedrørende komparator</w:t>
      </w:r>
    </w:p>
    <w:p w:rsidR="005A79E4" w:rsidRPr="0096520F" w:rsidRDefault="005A79E4" w:rsidP="005A79E4">
      <w:pPr>
        <w:rPr>
          <w:kern w:val="24"/>
        </w:rPr>
      </w:pPr>
      <w:r>
        <w:rPr>
          <w:kern w:val="24"/>
        </w:rPr>
        <w:t>Amgen stiller spørgsmålstegn ved det hensigtsmæssige i, at det er den a</w:t>
      </w:r>
      <w:r>
        <w:rPr>
          <w:kern w:val="24"/>
        </w:rPr>
        <w:t>n</w:t>
      </w:r>
      <w:r>
        <w:rPr>
          <w:kern w:val="24"/>
        </w:rPr>
        <w:t>søgende virksomhed, som skal fremsende dokumentation for det lægemi</w:t>
      </w:r>
      <w:r>
        <w:rPr>
          <w:kern w:val="24"/>
        </w:rPr>
        <w:t>d</w:t>
      </w:r>
      <w:r>
        <w:rPr>
          <w:kern w:val="24"/>
        </w:rPr>
        <w:t>del, som Medicinrådet finder virksomhedens nye lægemiddel skal vurderes i forhold til.</w:t>
      </w:r>
    </w:p>
    <w:p w:rsidR="005A79E4" w:rsidRPr="000A1847" w:rsidRDefault="005A79E4" w:rsidP="005A79E4">
      <w:pPr>
        <w:rPr>
          <w:kern w:val="24"/>
        </w:rPr>
      </w:pPr>
    </w:p>
    <w:p w:rsidR="005A79E4" w:rsidRDefault="005A79E4" w:rsidP="005A79E4">
      <w:pPr>
        <w:rPr>
          <w:kern w:val="24"/>
        </w:rPr>
      </w:pPr>
      <w:r>
        <w:rPr>
          <w:kern w:val="24"/>
        </w:rPr>
        <w:t xml:space="preserve">Da Medicinrådet i udgangspunktet </w:t>
      </w:r>
      <w:r w:rsidRPr="000A1847">
        <w:rPr>
          <w:kern w:val="24"/>
        </w:rPr>
        <w:t xml:space="preserve">baserer sig på publicerede data, bør det være muligt for </w:t>
      </w:r>
      <w:r>
        <w:rPr>
          <w:kern w:val="24"/>
        </w:rPr>
        <w:t xml:space="preserve">den ansøgende virksomhed </w:t>
      </w:r>
      <w:r w:rsidRPr="000A1847">
        <w:rPr>
          <w:kern w:val="24"/>
        </w:rPr>
        <w:t xml:space="preserve">at finde de relevante kliniske data </w:t>
      </w:r>
      <w:r>
        <w:rPr>
          <w:kern w:val="24"/>
        </w:rPr>
        <w:t>for</w:t>
      </w:r>
      <w:r w:rsidRPr="000A1847">
        <w:rPr>
          <w:kern w:val="24"/>
        </w:rPr>
        <w:t xml:space="preserve"> komparator. </w:t>
      </w:r>
    </w:p>
    <w:p w:rsidR="005A79E4" w:rsidRDefault="005A79E4" w:rsidP="005A79E4">
      <w:pPr>
        <w:rPr>
          <w:kern w:val="24"/>
        </w:rPr>
      </w:pPr>
    </w:p>
    <w:p w:rsidR="005A79E4" w:rsidRPr="00DA5128" w:rsidRDefault="005A79E4" w:rsidP="005A79E4">
      <w:pPr>
        <w:rPr>
          <w:b/>
          <w:kern w:val="24"/>
          <w:u w:val="single"/>
        </w:rPr>
      </w:pPr>
      <w:r>
        <w:rPr>
          <w:b/>
          <w:kern w:val="24"/>
          <w:u w:val="single"/>
        </w:rPr>
        <w:t>4</w:t>
      </w:r>
      <w:r w:rsidRPr="00DA5128">
        <w:rPr>
          <w:b/>
          <w:kern w:val="24"/>
          <w:u w:val="single"/>
        </w:rPr>
        <w:t xml:space="preserve">. </w:t>
      </w:r>
      <w:r>
        <w:rPr>
          <w:b/>
          <w:kern w:val="24"/>
          <w:u w:val="single"/>
        </w:rPr>
        <w:t>Amgros omkostningsanalyse</w:t>
      </w:r>
    </w:p>
    <w:p w:rsidR="005A79E4" w:rsidRPr="0096520F" w:rsidRDefault="005A79E4" w:rsidP="005A79E4">
      <w:pPr>
        <w:rPr>
          <w:kern w:val="24"/>
        </w:rPr>
      </w:pPr>
    </w:p>
    <w:p w:rsidR="005A79E4" w:rsidRPr="0096520F" w:rsidRDefault="005A79E4" w:rsidP="005A79E4">
      <w:pPr>
        <w:rPr>
          <w:b/>
          <w:kern w:val="24"/>
        </w:rPr>
      </w:pPr>
      <w:r w:rsidRPr="0096520F">
        <w:rPr>
          <w:b/>
          <w:kern w:val="24"/>
        </w:rPr>
        <w:t>Amgros der udfører omkostningsanalyse</w:t>
      </w:r>
    </w:p>
    <w:p w:rsidR="005A79E4" w:rsidRPr="0096520F" w:rsidRDefault="005A79E4" w:rsidP="005A79E4">
      <w:pPr>
        <w:rPr>
          <w:kern w:val="24"/>
        </w:rPr>
      </w:pPr>
      <w:r w:rsidRPr="0096520F">
        <w:rPr>
          <w:kern w:val="24"/>
        </w:rPr>
        <w:t>Lægemiddelindustriforeningen foreslår, at det er Medicinrådet i stedet for Amgros, som skal gennemføre de økonomiske omkostningsanalyser.</w:t>
      </w:r>
    </w:p>
    <w:p w:rsidR="005A79E4" w:rsidRPr="0096520F" w:rsidRDefault="005A79E4" w:rsidP="005A79E4">
      <w:pPr>
        <w:rPr>
          <w:kern w:val="24"/>
        </w:rPr>
      </w:pPr>
    </w:p>
    <w:p w:rsidR="005A79E4" w:rsidRPr="0096520F" w:rsidRDefault="005A79E4" w:rsidP="005A79E4">
      <w:pPr>
        <w:rPr>
          <w:kern w:val="24"/>
        </w:rPr>
      </w:pPr>
      <w:r w:rsidRPr="0096520F">
        <w:rPr>
          <w:kern w:val="24"/>
        </w:rPr>
        <w:t>Modellen er konstrueret, så det er Amgros, der har den fornødne ekspertise inden for sundhedsøkonomien, forestår valideringen af omkostningsanal</w:t>
      </w:r>
      <w:r w:rsidRPr="0096520F">
        <w:rPr>
          <w:kern w:val="24"/>
        </w:rPr>
        <w:t>y</w:t>
      </w:r>
      <w:r w:rsidRPr="0096520F">
        <w:rPr>
          <w:kern w:val="24"/>
        </w:rPr>
        <w:t>sen. Dermed kan Medicinrådet fokusere på de klinisk faglige spørgsmål, herunder kategoriseringen af merværdi for nye lægemidler samt klinisk-faglig effekt og sammenlignelighed for terapiområder. Amgros vil i det o</w:t>
      </w:r>
      <w:r w:rsidRPr="0096520F">
        <w:rPr>
          <w:kern w:val="24"/>
        </w:rPr>
        <w:t>m</w:t>
      </w:r>
      <w:r w:rsidRPr="0096520F">
        <w:rPr>
          <w:kern w:val="24"/>
        </w:rPr>
        <w:t>fang, det er nødvendigt som en del af valideringsprocessen, konsultere ek</w:t>
      </w:r>
      <w:r w:rsidRPr="0096520F">
        <w:rPr>
          <w:kern w:val="24"/>
        </w:rPr>
        <w:t>s</w:t>
      </w:r>
      <w:r w:rsidRPr="0096520F">
        <w:rPr>
          <w:kern w:val="24"/>
        </w:rPr>
        <w:t>tern faglig ekspertise, der skal sikre, at de elementer der inddrages i o</w:t>
      </w:r>
      <w:r w:rsidRPr="0096520F">
        <w:rPr>
          <w:kern w:val="24"/>
        </w:rPr>
        <w:t>m</w:t>
      </w:r>
      <w:r w:rsidRPr="0096520F">
        <w:rPr>
          <w:kern w:val="24"/>
        </w:rPr>
        <w:t xml:space="preserve">kostningsanalyserne svarer til dansk klinisk praksis. </w:t>
      </w:r>
    </w:p>
    <w:p w:rsidR="005A79E4" w:rsidRPr="0096520F" w:rsidRDefault="005A79E4" w:rsidP="005A79E4">
      <w:pPr>
        <w:rPr>
          <w:kern w:val="24"/>
        </w:rPr>
      </w:pPr>
    </w:p>
    <w:p w:rsidR="005A79E4" w:rsidRPr="0096520F" w:rsidRDefault="005A79E4" w:rsidP="005A79E4">
      <w:pPr>
        <w:rPr>
          <w:b/>
          <w:kern w:val="24"/>
        </w:rPr>
      </w:pPr>
      <w:r w:rsidRPr="0096520F">
        <w:rPr>
          <w:b/>
          <w:kern w:val="24"/>
        </w:rPr>
        <w:t>Ønske om udvidet omkostningsanalyse</w:t>
      </w:r>
    </w:p>
    <w:p w:rsidR="005A79E4" w:rsidRPr="0096520F" w:rsidRDefault="005A79E4" w:rsidP="005A79E4">
      <w:pPr>
        <w:rPr>
          <w:kern w:val="24"/>
        </w:rPr>
      </w:pPr>
      <w:r w:rsidRPr="0096520F">
        <w:rPr>
          <w:kern w:val="24"/>
        </w:rPr>
        <w:t>Danske Patienter, Danske Handicaporganisationer, Biogen og Lægemidde</w:t>
      </w:r>
      <w:r w:rsidRPr="0096520F">
        <w:rPr>
          <w:kern w:val="24"/>
        </w:rPr>
        <w:t>l</w:t>
      </w:r>
      <w:r w:rsidRPr="0096520F">
        <w:rPr>
          <w:kern w:val="24"/>
        </w:rPr>
        <w:t>industriforeningen er som udgangspunkt positive overfor, at Danske Regi</w:t>
      </w:r>
      <w:r w:rsidRPr="0096520F">
        <w:rPr>
          <w:kern w:val="24"/>
        </w:rPr>
        <w:t>o</w:t>
      </w:r>
      <w:r w:rsidRPr="0096520F">
        <w:rPr>
          <w:kern w:val="24"/>
        </w:rPr>
        <w:t>ner har lagt op til, at inddrage et bredere økonomisk perspektiv end hidtil i vurderingen af sygehusmedicin. Parterne ser dog gerne at endnu flere o</w:t>
      </w:r>
      <w:r w:rsidRPr="0096520F">
        <w:rPr>
          <w:kern w:val="24"/>
        </w:rPr>
        <w:t>m</w:t>
      </w:r>
      <w:r w:rsidRPr="0096520F">
        <w:rPr>
          <w:kern w:val="24"/>
        </w:rPr>
        <w:t>kostninger kan inddrages</w:t>
      </w:r>
    </w:p>
    <w:p w:rsidR="005A79E4" w:rsidRPr="0096520F" w:rsidRDefault="005A79E4" w:rsidP="005A79E4">
      <w:pPr>
        <w:rPr>
          <w:kern w:val="24"/>
        </w:rPr>
      </w:pPr>
    </w:p>
    <w:p w:rsidR="005A79E4" w:rsidRPr="0096520F" w:rsidRDefault="005A79E4" w:rsidP="005A79E4">
      <w:pPr>
        <w:rPr>
          <w:kern w:val="24"/>
        </w:rPr>
      </w:pPr>
      <w:r w:rsidRPr="0096520F">
        <w:rPr>
          <w:kern w:val="24"/>
        </w:rPr>
        <w:t>Der lægges op til et samfundsøkonomisk perspektiv med begrænsninger. Dermed medregnes ikke alle samfundsøkonomiske omkostninger og e</w:t>
      </w:r>
      <w:r w:rsidRPr="0096520F">
        <w:rPr>
          <w:kern w:val="24"/>
        </w:rPr>
        <w:t>k</w:t>
      </w:r>
      <w:r w:rsidRPr="0096520F">
        <w:rPr>
          <w:kern w:val="24"/>
        </w:rPr>
        <w:t>sempelvis ikke produktionstab og gevinster. Det primære hensyn er her, at undgå diskrimination i forhold til arbejdsmarkedstilknytning og dermed implicit aldersdiskrimination. Der medregnes omkostninger i eksempelvis den kommunale sektor, såfremt disse kan dokumenteres. Det kan være pl</w:t>
      </w:r>
      <w:r w:rsidRPr="0096520F">
        <w:rPr>
          <w:kern w:val="24"/>
        </w:rPr>
        <w:t>e</w:t>
      </w:r>
      <w:r w:rsidRPr="0096520F">
        <w:rPr>
          <w:kern w:val="24"/>
        </w:rPr>
        <w:t xml:space="preserve">jeomkostninger eller lignende. </w:t>
      </w:r>
    </w:p>
    <w:p w:rsidR="005A79E4" w:rsidRPr="0096520F" w:rsidRDefault="005A79E4" w:rsidP="005A79E4">
      <w:pPr>
        <w:rPr>
          <w:kern w:val="24"/>
        </w:rPr>
      </w:pPr>
    </w:p>
    <w:p w:rsidR="005A79E4" w:rsidRPr="0096520F" w:rsidRDefault="005A79E4" w:rsidP="005A79E4">
      <w:pPr>
        <w:rPr>
          <w:b/>
          <w:kern w:val="24"/>
        </w:rPr>
      </w:pPr>
      <w:r w:rsidRPr="0096520F">
        <w:rPr>
          <w:b/>
          <w:kern w:val="24"/>
        </w:rPr>
        <w:t>Behandlingsværdi/-omkostninger over helt sygdomsforløb</w:t>
      </w:r>
    </w:p>
    <w:p w:rsidR="005A79E4" w:rsidRPr="0096520F" w:rsidRDefault="005A79E4" w:rsidP="005A79E4">
      <w:pPr>
        <w:rPr>
          <w:kern w:val="24"/>
        </w:rPr>
      </w:pPr>
      <w:r w:rsidRPr="0096520F">
        <w:rPr>
          <w:kern w:val="24"/>
        </w:rPr>
        <w:t>Danske Handicaporganisationer, Lægemiddelindustriforening og Biogen peger så gerne, at der i metoderne anlægges en længere økonomisk tidsh</w:t>
      </w:r>
      <w:r w:rsidRPr="0096520F">
        <w:rPr>
          <w:kern w:val="24"/>
        </w:rPr>
        <w:t>o</w:t>
      </w:r>
      <w:r w:rsidRPr="0096520F">
        <w:rPr>
          <w:kern w:val="24"/>
        </w:rPr>
        <w:t>risont, end der er lagt op til i metoden for omkostningsanalysen.</w:t>
      </w:r>
    </w:p>
    <w:p w:rsidR="005A79E4" w:rsidRPr="0096520F" w:rsidRDefault="005A79E4" w:rsidP="005A79E4">
      <w:pPr>
        <w:rPr>
          <w:kern w:val="24"/>
        </w:rPr>
      </w:pPr>
    </w:p>
    <w:p w:rsidR="005A79E4" w:rsidRPr="004115BC" w:rsidRDefault="005A79E4" w:rsidP="005A79E4">
      <w:pPr>
        <w:rPr>
          <w:kern w:val="24"/>
        </w:rPr>
      </w:pPr>
      <w:r w:rsidRPr="0096520F">
        <w:rPr>
          <w:kern w:val="24"/>
        </w:rPr>
        <w:t>Der skal som udgangspunkt være samme tidshorisont for vurderingen af lægemidlets merværdi og i omkostningsanalysen. Ved validering af o</w:t>
      </w:r>
      <w:r w:rsidRPr="0096520F">
        <w:rPr>
          <w:kern w:val="24"/>
        </w:rPr>
        <w:t>m</w:t>
      </w:r>
      <w:r w:rsidRPr="0096520F">
        <w:rPr>
          <w:kern w:val="24"/>
        </w:rPr>
        <w:t>kostningsanalysen tager Amgros udgangspunkt i den tidshorisont Medici</w:t>
      </w:r>
      <w:r w:rsidRPr="0096520F">
        <w:rPr>
          <w:kern w:val="24"/>
        </w:rPr>
        <w:t>n</w:t>
      </w:r>
      <w:r w:rsidRPr="0096520F">
        <w:rPr>
          <w:kern w:val="24"/>
        </w:rPr>
        <w:t xml:space="preserve">rådet har fundet relevant ved vurderingen af merværdien. </w:t>
      </w:r>
    </w:p>
    <w:p w:rsidR="005A79E4" w:rsidRPr="004115BC" w:rsidRDefault="005A79E4" w:rsidP="005A79E4">
      <w:pPr>
        <w:rPr>
          <w:kern w:val="24"/>
        </w:rPr>
      </w:pPr>
    </w:p>
    <w:p w:rsidR="005A79E4" w:rsidRPr="004115BC" w:rsidRDefault="005A79E4">
      <w:pPr>
        <w:rPr>
          <w:kern w:val="24"/>
        </w:rPr>
      </w:pPr>
    </w:p>
    <w:sectPr w:rsidR="005A79E4" w:rsidRPr="004115BC">
      <w:headerReference w:type="default" r:id="rId9"/>
      <w:footerReference w:type="default" r:id="rId10"/>
      <w:headerReference w:type="first" r:id="rId11"/>
      <w:pgSz w:w="11907" w:h="16840" w:code="9"/>
      <w:pgMar w:top="2268" w:right="3175" w:bottom="1134" w:left="1418" w:header="284" w:footer="924" w:gutter="0"/>
      <w:paperSrc w:first="1" w:other="1"/>
      <w:cols w:space="851" w:equalWidth="0">
        <w:col w:w="7314" w:space="851"/>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DD" w:rsidRDefault="00F63ADD">
      <w:r>
        <w:separator/>
      </w:r>
    </w:p>
  </w:endnote>
  <w:endnote w:type="continuationSeparator" w:id="0">
    <w:p w:rsidR="00F63ADD" w:rsidRDefault="00F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regu">
    <w:altName w:val="Courier New"/>
    <w:charset w:val="00"/>
    <w:family w:val="auto"/>
    <w:pitch w:val="variable"/>
    <w:sig w:usb0="00000003" w:usb1="00000000" w:usb2="00000000" w:usb3="00000000" w:csb0="00000001" w:csb1="00000000"/>
  </w:font>
  <w:font w:name="Bo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5" w:rsidRDefault="00CF0C2B">
    <w:pPr>
      <w:pStyle w:val="Sidefod"/>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386080</wp:posOffset>
              </wp:positionV>
              <wp:extent cx="990600" cy="30480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2D5" w:rsidRDefault="001F02D5">
                          <w:pPr>
                            <w:rPr>
                              <w:sz w:val="12"/>
                            </w:rPr>
                          </w:pPr>
                          <w:r>
                            <w:rPr>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pt;margin-top:30.4pt;width:7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" stroked="f">
              <v:textbox>
                <w:txbxContent>
                  <w:p w:rsidR="001F02D5" w:rsidRDefault="001F02D5">
                    <w:pPr>
                      <w:rPr>
                        <w:sz w:val="12"/>
                      </w:rPr>
                    </w:pPr>
                    <w:r>
                      <w:rPr>
                        <w:sz w:val="1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DD" w:rsidRDefault="00F63ADD">
      <w:r>
        <w:separator/>
      </w:r>
    </w:p>
  </w:footnote>
  <w:footnote w:type="continuationSeparator" w:id="0">
    <w:p w:rsidR="00F63ADD" w:rsidRDefault="00F6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5" w:rsidRDefault="001F02D5">
    <w:pPr>
      <w:pStyle w:val="Sidenr"/>
      <w:framePr w:w="0" w:wrap="around"/>
      <w:rPr>
        <w:noProof/>
      </w:rPr>
    </w:pPr>
    <w:r>
      <w:rPr>
        <w:noProof/>
      </w:rPr>
      <w:t xml:space="preserve">Side </w:t>
    </w:r>
    <w:r>
      <w:rPr>
        <w:noProof/>
      </w:rPr>
      <w:fldChar w:fldCharType="begin"/>
    </w:r>
    <w:r>
      <w:rPr>
        <w:noProof/>
      </w:rPr>
      <w:instrText xml:space="preserve"> PAGE </w:instrText>
    </w:r>
    <w:r>
      <w:rPr>
        <w:noProof/>
      </w:rPr>
      <w:fldChar w:fldCharType="separate"/>
    </w:r>
    <w:r w:rsidR="00CF0C2B">
      <w:rPr>
        <w:noProof/>
      </w:rPr>
      <w:t>2</w:t>
    </w:r>
    <w:r>
      <w:rPr>
        <w:noProof/>
      </w:rPr>
      <w:fldChar w:fldCharType="end"/>
    </w:r>
  </w:p>
  <w:p w:rsidR="001F02D5" w:rsidRDefault="001F02D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5" w:rsidRDefault="001F02D5">
    <w:pPr>
      <w:pStyle w:val="DokumentArt"/>
      <w:framePr w:wrap="around" w:x="1645" w:y="1532"/>
      <w:rPr>
        <w:rFonts w:ascii="Georgia" w:hAnsi="Georgia"/>
        <w:noProof/>
      </w:rPr>
    </w:pPr>
  </w:p>
  <w:p w:rsidR="001F02D5" w:rsidRDefault="001F02D5">
    <w:pPr>
      <w:pStyle w:val="Sidehoved"/>
      <w:tabs>
        <w:tab w:val="clear" w:pos="4819"/>
        <w:tab w:val="clear" w:pos="9638"/>
        <w:tab w:val="left" w:pos="425"/>
        <w:tab w:val="left" w:pos="851"/>
      </w:tabs>
      <w:rPr>
        <w:rFonts w:ascii="Georgia" w:hAnsi="Georgia"/>
        <w:noProof/>
      </w:rPr>
    </w:pPr>
  </w:p>
  <w:p w:rsidR="001F02D5" w:rsidRDefault="001F02D5">
    <w:pPr>
      <w:rPr>
        <w:rFonts w:ascii="Georgia" w:hAnsi="Georgia"/>
        <w:noProof/>
      </w:rPr>
    </w:pPr>
  </w:p>
  <w:p w:rsidR="001F02D5" w:rsidRDefault="001F02D5">
    <w:pPr>
      <w:rPr>
        <w:rFonts w:ascii="Georgia" w:hAnsi="Georgia"/>
        <w:noProof/>
      </w:rPr>
    </w:pPr>
  </w:p>
  <w:p w:rsidR="001F02D5" w:rsidRDefault="001F02D5">
    <w:pPr>
      <w:rPr>
        <w:rFonts w:ascii="Georgia" w:hAnsi="Georgia"/>
        <w:noProof/>
      </w:rPr>
    </w:pPr>
  </w:p>
  <w:p w:rsidR="001F02D5" w:rsidRDefault="00CF0C2B">
    <w:pPr>
      <w:rPr>
        <w:noProof/>
        <w:sz w:val="20"/>
        <w:lang w:val="de-DE"/>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4980305</wp:posOffset>
              </wp:positionH>
              <wp:positionV relativeFrom="paragraph">
                <wp:posOffset>38100</wp:posOffset>
              </wp:positionV>
              <wp:extent cx="950595" cy="1409700"/>
              <wp:effectExtent l="0"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2D5" w:rsidRDefault="00CF0C2B">
                          <w:r>
                            <w:rPr>
                              <w:noProof/>
                            </w:rPr>
                            <w:drawing>
                              <wp:inline distT="0" distB="0" distL="0" distR="0">
                                <wp:extent cx="647700" cy="1257300"/>
                                <wp:effectExtent l="0" t="0" r="0" b="0"/>
                                <wp:docPr id="3" name="Billede 2" descr="3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2.15pt;margin-top:3pt;width:74.8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" stroked="f">
              <v:textbox>
                <w:txbxContent>
                  <w:p w:rsidR="001F02D5" w:rsidRDefault="00CF0C2B">
                    <w:r>
                      <w:rPr>
                        <w:noProof/>
                      </w:rPr>
                      <w:drawing>
                        <wp:inline distT="0" distB="0" distL="0" distR="0">
                          <wp:extent cx="647700" cy="1257300"/>
                          <wp:effectExtent l="0" t="0" r="0" b="0"/>
                          <wp:docPr id="3" name="Billede 2" descr="3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57300"/>
                                  </a:xfrm>
                                  <a:prstGeom prst="rect">
                                    <a:avLst/>
                                  </a:prstGeom>
                                  <a:noFill/>
                                  <a:ln>
                                    <a:noFill/>
                                  </a:ln>
                                </pic:spPr>
                              </pic:pic>
                            </a:graphicData>
                          </a:graphic>
                        </wp:inline>
                      </w:drawing>
                    </w:r>
                  </w:p>
                </w:txbxContent>
              </v:textbox>
              <w10:wrap type="square"/>
            </v:shape>
          </w:pict>
        </mc:Fallback>
      </mc:AlternateContent>
    </w:r>
    <w:r w:rsidR="001F02D5">
      <w:rPr>
        <w:noProof/>
        <w:sz w:val="20"/>
        <w:lang w:val="de-DE"/>
      </w:rPr>
      <w:t xml:space="preserve">N O T A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5A8"/>
    <w:multiLevelType w:val="hybridMultilevel"/>
    <w:tmpl w:val="7C0E8A74"/>
    <w:lvl w:ilvl="0" w:tplc="5B622A18">
      <w:start w:val="1"/>
      <w:numFmt w:val="decimal"/>
      <w:pStyle w:val="Overskrift1"/>
      <w:lvlText w:val="%1."/>
      <w:lvlJc w:val="left"/>
      <w:pPr>
        <w:tabs>
          <w:tab w:val="num" w:pos="360"/>
        </w:tabs>
        <w:ind w:left="340" w:hanging="340"/>
      </w:pPr>
      <w:rPr>
        <w:rFonts w:hint="default"/>
      </w:rPr>
    </w:lvl>
    <w:lvl w:ilvl="1" w:tplc="04060019" w:tentative="1">
      <w:start w:val="1"/>
      <w:numFmt w:val="lowerLetter"/>
      <w:lvlText w:val="%2."/>
      <w:lvlJc w:val="left"/>
      <w:pPr>
        <w:tabs>
          <w:tab w:val="num" w:pos="1680"/>
        </w:tabs>
        <w:ind w:left="1680" w:hanging="360"/>
      </w:pPr>
    </w:lvl>
    <w:lvl w:ilvl="2" w:tplc="0406001B" w:tentative="1">
      <w:start w:val="1"/>
      <w:numFmt w:val="lowerRoman"/>
      <w:lvlText w:val="%3."/>
      <w:lvlJc w:val="right"/>
      <w:pPr>
        <w:tabs>
          <w:tab w:val="num" w:pos="2400"/>
        </w:tabs>
        <w:ind w:left="2400" w:hanging="180"/>
      </w:pPr>
    </w:lvl>
    <w:lvl w:ilvl="3" w:tplc="0406000F" w:tentative="1">
      <w:start w:val="1"/>
      <w:numFmt w:val="decimal"/>
      <w:lvlText w:val="%4."/>
      <w:lvlJc w:val="left"/>
      <w:pPr>
        <w:tabs>
          <w:tab w:val="num" w:pos="3120"/>
        </w:tabs>
        <w:ind w:left="3120" w:hanging="360"/>
      </w:pPr>
    </w:lvl>
    <w:lvl w:ilvl="4" w:tplc="04060019" w:tentative="1">
      <w:start w:val="1"/>
      <w:numFmt w:val="lowerLetter"/>
      <w:lvlText w:val="%5."/>
      <w:lvlJc w:val="left"/>
      <w:pPr>
        <w:tabs>
          <w:tab w:val="num" w:pos="3840"/>
        </w:tabs>
        <w:ind w:left="3840" w:hanging="360"/>
      </w:pPr>
    </w:lvl>
    <w:lvl w:ilvl="5" w:tplc="0406001B" w:tentative="1">
      <w:start w:val="1"/>
      <w:numFmt w:val="lowerRoman"/>
      <w:lvlText w:val="%6."/>
      <w:lvlJc w:val="right"/>
      <w:pPr>
        <w:tabs>
          <w:tab w:val="num" w:pos="4560"/>
        </w:tabs>
        <w:ind w:left="4560" w:hanging="180"/>
      </w:pPr>
    </w:lvl>
    <w:lvl w:ilvl="6" w:tplc="0406000F" w:tentative="1">
      <w:start w:val="1"/>
      <w:numFmt w:val="decimal"/>
      <w:lvlText w:val="%7."/>
      <w:lvlJc w:val="left"/>
      <w:pPr>
        <w:tabs>
          <w:tab w:val="num" w:pos="5280"/>
        </w:tabs>
        <w:ind w:left="5280" w:hanging="360"/>
      </w:pPr>
    </w:lvl>
    <w:lvl w:ilvl="7" w:tplc="04060019" w:tentative="1">
      <w:start w:val="1"/>
      <w:numFmt w:val="lowerLetter"/>
      <w:lvlText w:val="%8."/>
      <w:lvlJc w:val="left"/>
      <w:pPr>
        <w:tabs>
          <w:tab w:val="num" w:pos="6000"/>
        </w:tabs>
        <w:ind w:left="6000" w:hanging="360"/>
      </w:pPr>
    </w:lvl>
    <w:lvl w:ilvl="8" w:tplc="0406001B" w:tentative="1">
      <w:start w:val="1"/>
      <w:numFmt w:val="lowerRoman"/>
      <w:lvlText w:val="%9."/>
      <w:lvlJc w:val="right"/>
      <w:pPr>
        <w:tabs>
          <w:tab w:val="num" w:pos="6720"/>
        </w:tabs>
        <w:ind w:left="6720" w:hanging="180"/>
      </w:pPr>
    </w:lvl>
  </w:abstractNum>
  <w:abstractNum w:abstractNumId="1">
    <w:nsid w:val="156E58EC"/>
    <w:multiLevelType w:val="hybridMultilevel"/>
    <w:tmpl w:val="1F182C28"/>
    <w:lvl w:ilvl="0" w:tplc="083EB4A8">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C84244C"/>
    <w:multiLevelType w:val="multilevel"/>
    <w:tmpl w:val="49967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B64CE4"/>
    <w:multiLevelType w:val="hybridMultilevel"/>
    <w:tmpl w:val="1B109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E5A4C19"/>
    <w:multiLevelType w:val="hybridMultilevel"/>
    <w:tmpl w:val="3E966E40"/>
    <w:lvl w:ilvl="0" w:tplc="26F0355C">
      <w:start w:val="1"/>
      <w:numFmt w:val="bullet"/>
      <w:lvlText w:val="•"/>
      <w:lvlJc w:val="left"/>
      <w:pPr>
        <w:tabs>
          <w:tab w:val="num" w:pos="720"/>
        </w:tabs>
        <w:ind w:left="720" w:hanging="360"/>
      </w:pPr>
      <w:rPr>
        <w:rFonts w:ascii="Arial" w:hAnsi="Arial" w:hint="default"/>
      </w:rPr>
    </w:lvl>
    <w:lvl w:ilvl="1" w:tplc="6A465A00" w:tentative="1">
      <w:start w:val="1"/>
      <w:numFmt w:val="bullet"/>
      <w:lvlText w:val="•"/>
      <w:lvlJc w:val="left"/>
      <w:pPr>
        <w:tabs>
          <w:tab w:val="num" w:pos="1440"/>
        </w:tabs>
        <w:ind w:left="1440" w:hanging="360"/>
      </w:pPr>
      <w:rPr>
        <w:rFonts w:ascii="Arial" w:hAnsi="Arial" w:hint="default"/>
      </w:rPr>
    </w:lvl>
    <w:lvl w:ilvl="2" w:tplc="4DA089B8" w:tentative="1">
      <w:start w:val="1"/>
      <w:numFmt w:val="bullet"/>
      <w:lvlText w:val="•"/>
      <w:lvlJc w:val="left"/>
      <w:pPr>
        <w:tabs>
          <w:tab w:val="num" w:pos="2160"/>
        </w:tabs>
        <w:ind w:left="2160" w:hanging="360"/>
      </w:pPr>
      <w:rPr>
        <w:rFonts w:ascii="Arial" w:hAnsi="Arial" w:hint="default"/>
      </w:rPr>
    </w:lvl>
    <w:lvl w:ilvl="3" w:tplc="E4DC7634" w:tentative="1">
      <w:start w:val="1"/>
      <w:numFmt w:val="bullet"/>
      <w:lvlText w:val="•"/>
      <w:lvlJc w:val="left"/>
      <w:pPr>
        <w:tabs>
          <w:tab w:val="num" w:pos="2880"/>
        </w:tabs>
        <w:ind w:left="2880" w:hanging="360"/>
      </w:pPr>
      <w:rPr>
        <w:rFonts w:ascii="Arial" w:hAnsi="Arial" w:hint="default"/>
      </w:rPr>
    </w:lvl>
    <w:lvl w:ilvl="4" w:tplc="2FA66E38" w:tentative="1">
      <w:start w:val="1"/>
      <w:numFmt w:val="bullet"/>
      <w:lvlText w:val="•"/>
      <w:lvlJc w:val="left"/>
      <w:pPr>
        <w:tabs>
          <w:tab w:val="num" w:pos="3600"/>
        </w:tabs>
        <w:ind w:left="3600" w:hanging="360"/>
      </w:pPr>
      <w:rPr>
        <w:rFonts w:ascii="Arial" w:hAnsi="Arial" w:hint="default"/>
      </w:rPr>
    </w:lvl>
    <w:lvl w:ilvl="5" w:tplc="FB0239E8" w:tentative="1">
      <w:start w:val="1"/>
      <w:numFmt w:val="bullet"/>
      <w:lvlText w:val="•"/>
      <w:lvlJc w:val="left"/>
      <w:pPr>
        <w:tabs>
          <w:tab w:val="num" w:pos="4320"/>
        </w:tabs>
        <w:ind w:left="4320" w:hanging="360"/>
      </w:pPr>
      <w:rPr>
        <w:rFonts w:ascii="Arial" w:hAnsi="Arial" w:hint="default"/>
      </w:rPr>
    </w:lvl>
    <w:lvl w:ilvl="6" w:tplc="0D6683D4" w:tentative="1">
      <w:start w:val="1"/>
      <w:numFmt w:val="bullet"/>
      <w:lvlText w:val="•"/>
      <w:lvlJc w:val="left"/>
      <w:pPr>
        <w:tabs>
          <w:tab w:val="num" w:pos="5040"/>
        </w:tabs>
        <w:ind w:left="5040" w:hanging="360"/>
      </w:pPr>
      <w:rPr>
        <w:rFonts w:ascii="Arial" w:hAnsi="Arial" w:hint="default"/>
      </w:rPr>
    </w:lvl>
    <w:lvl w:ilvl="7" w:tplc="F4888AC6" w:tentative="1">
      <w:start w:val="1"/>
      <w:numFmt w:val="bullet"/>
      <w:lvlText w:val="•"/>
      <w:lvlJc w:val="left"/>
      <w:pPr>
        <w:tabs>
          <w:tab w:val="num" w:pos="5760"/>
        </w:tabs>
        <w:ind w:left="5760" w:hanging="360"/>
      </w:pPr>
      <w:rPr>
        <w:rFonts w:ascii="Arial" w:hAnsi="Arial" w:hint="default"/>
      </w:rPr>
    </w:lvl>
    <w:lvl w:ilvl="8" w:tplc="615ED156" w:tentative="1">
      <w:start w:val="1"/>
      <w:numFmt w:val="bullet"/>
      <w:lvlText w:val="•"/>
      <w:lvlJc w:val="left"/>
      <w:pPr>
        <w:tabs>
          <w:tab w:val="num" w:pos="6480"/>
        </w:tabs>
        <w:ind w:left="6480" w:hanging="360"/>
      </w:pPr>
      <w:rPr>
        <w:rFonts w:ascii="Arial" w:hAnsi="Arial" w:hint="default"/>
      </w:rPr>
    </w:lvl>
  </w:abstractNum>
  <w:abstractNum w:abstractNumId="5">
    <w:nsid w:val="438D3EAC"/>
    <w:multiLevelType w:val="multilevel"/>
    <w:tmpl w:val="3FF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C15C95"/>
    <w:multiLevelType w:val="hybridMultilevel"/>
    <w:tmpl w:val="30046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9807D91"/>
    <w:multiLevelType w:val="hybridMultilevel"/>
    <w:tmpl w:val="09D82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InTemplateCenterEnabled" w:val="False"/>
  </w:docVars>
  <w:rsids>
    <w:rsidRoot w:val="00DF6FDD"/>
    <w:rsid w:val="00017E56"/>
    <w:rsid w:val="00050673"/>
    <w:rsid w:val="000A1847"/>
    <w:rsid w:val="000E35C9"/>
    <w:rsid w:val="001038B4"/>
    <w:rsid w:val="001333A1"/>
    <w:rsid w:val="00180FCE"/>
    <w:rsid w:val="001A7F5F"/>
    <w:rsid w:val="001F02D5"/>
    <w:rsid w:val="001F0C8D"/>
    <w:rsid w:val="00244E7F"/>
    <w:rsid w:val="00283134"/>
    <w:rsid w:val="002B0EB7"/>
    <w:rsid w:val="00383600"/>
    <w:rsid w:val="00396EF2"/>
    <w:rsid w:val="00396FF3"/>
    <w:rsid w:val="003B2717"/>
    <w:rsid w:val="004115BC"/>
    <w:rsid w:val="00543721"/>
    <w:rsid w:val="005A79E4"/>
    <w:rsid w:val="006842ED"/>
    <w:rsid w:val="006A6A46"/>
    <w:rsid w:val="00703897"/>
    <w:rsid w:val="0072569A"/>
    <w:rsid w:val="0072738C"/>
    <w:rsid w:val="00795C77"/>
    <w:rsid w:val="007A3BC4"/>
    <w:rsid w:val="007C1225"/>
    <w:rsid w:val="0096520F"/>
    <w:rsid w:val="009C2C6B"/>
    <w:rsid w:val="009F5DD4"/>
    <w:rsid w:val="009F6435"/>
    <w:rsid w:val="00A11ED9"/>
    <w:rsid w:val="00A3154A"/>
    <w:rsid w:val="00A56DD0"/>
    <w:rsid w:val="00AC5745"/>
    <w:rsid w:val="00B12804"/>
    <w:rsid w:val="00B329BD"/>
    <w:rsid w:val="00BB0343"/>
    <w:rsid w:val="00BF058E"/>
    <w:rsid w:val="00C438E0"/>
    <w:rsid w:val="00C75DE8"/>
    <w:rsid w:val="00CE0083"/>
    <w:rsid w:val="00CF0C2B"/>
    <w:rsid w:val="00DA5128"/>
    <w:rsid w:val="00DD5A70"/>
    <w:rsid w:val="00DF6FDD"/>
    <w:rsid w:val="00F63ADD"/>
    <w:rsid w:val="00FB6D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 w:val="left" w:pos="851"/>
        <w:tab w:val="left" w:pos="1276"/>
      </w:tabs>
      <w:spacing w:line="320" w:lineRule="atLeast"/>
      <w:jc w:val="both"/>
    </w:pPr>
    <w:rPr>
      <w:sz w:val="24"/>
    </w:rPr>
  </w:style>
  <w:style w:type="paragraph" w:styleId="Overskrift1">
    <w:name w:val="heading 1"/>
    <w:basedOn w:val="Normal"/>
    <w:next w:val="Normal"/>
    <w:qFormat/>
    <w:pPr>
      <w:keepNext/>
      <w:numPr>
        <w:numId w:val="5"/>
      </w:numPr>
      <w:tabs>
        <w:tab w:val="clear" w:pos="425"/>
        <w:tab w:val="left" w:pos="567"/>
      </w:tabs>
      <w:spacing w:after="120" w:line="240" w:lineRule="auto"/>
      <w:jc w:val="left"/>
      <w:outlineLvl w:val="0"/>
    </w:pPr>
    <w:rPr>
      <w:b/>
      <w:kern w:val="24"/>
    </w:rPr>
  </w:style>
  <w:style w:type="paragraph" w:styleId="Overskrift2">
    <w:name w:val="heading 2"/>
    <w:basedOn w:val="Normal"/>
    <w:next w:val="Normal"/>
    <w:qFormat/>
    <w:pPr>
      <w:keepNext/>
      <w:jc w:val="left"/>
      <w:outlineLvl w:val="1"/>
    </w:pPr>
    <w:rPr>
      <w:b/>
    </w:rPr>
  </w:style>
  <w:style w:type="paragraph" w:styleId="Overskrift3">
    <w:name w:val="heading 3"/>
    <w:basedOn w:val="Normal"/>
    <w:next w:val="Normal"/>
    <w:qFormat/>
    <w:pPr>
      <w:keepNext/>
      <w:jc w:val="left"/>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data">
    <w:name w:val="Brev data"/>
    <w:basedOn w:val="Normal"/>
    <w:pPr>
      <w:framePr w:w="2438" w:hSpace="142" w:wrap="around" w:vAnchor="page" w:hAnchor="page" w:x="9357" w:y="4225" w:anchorLock="1"/>
      <w:jc w:val="left"/>
    </w:pPr>
    <w:rPr>
      <w:sz w:val="18"/>
    </w:rPr>
  </w:style>
  <w:style w:type="paragraph" w:customStyle="1" w:styleId="Signatur">
    <w:name w:val="Signatur"/>
    <w:basedOn w:val="Normal"/>
    <w:pPr>
      <w:framePr w:w="6804" w:hSpace="142" w:wrap="around" w:vAnchor="text" w:hAnchor="page" w:x="1419" w:y="568"/>
      <w:tabs>
        <w:tab w:val="clear" w:pos="425"/>
        <w:tab w:val="clear" w:pos="851"/>
        <w:tab w:val="left" w:pos="3572"/>
      </w:tabs>
      <w:jc w:val="left"/>
    </w:pPr>
    <w:rPr>
      <w:lang w:val="en-GB"/>
    </w:rPr>
  </w:style>
  <w:style w:type="paragraph" w:customStyle="1" w:styleId="Brevsti">
    <w:name w:val="Brevsti"/>
    <w:basedOn w:val="Normal"/>
    <w:pPr>
      <w:framePr w:hSpace="142" w:wrap="notBeside" w:vAnchor="page" w:hAnchor="page" w:x="1419" w:y="15877" w:anchorLock="1"/>
    </w:pPr>
    <w:rPr>
      <w:sz w:val="12"/>
    </w:rPr>
  </w:style>
  <w:style w:type="paragraph" w:customStyle="1" w:styleId="Adresse">
    <w:name w:val="Adresse"/>
    <w:basedOn w:val="Normal"/>
    <w:pPr>
      <w:tabs>
        <w:tab w:val="clear" w:pos="425"/>
        <w:tab w:val="clear" w:pos="851"/>
        <w:tab w:val="clear" w:pos="1276"/>
        <w:tab w:val="left" w:pos="1134"/>
        <w:tab w:val="left" w:pos="1644"/>
        <w:tab w:val="left" w:pos="2438"/>
      </w:tabs>
      <w:spacing w:after="160"/>
      <w:jc w:val="left"/>
    </w:pPr>
    <w:rPr>
      <w:sz w:val="18"/>
    </w:rPr>
  </w:style>
  <w:style w:type="paragraph" w:customStyle="1" w:styleId="Vedr">
    <w:name w:val="Vedr"/>
    <w:basedOn w:val="Normal"/>
    <w:next w:val="Normal"/>
    <w:pPr>
      <w:jc w:val="left"/>
    </w:pPr>
    <w:rPr>
      <w:b/>
    </w:rPr>
  </w:style>
  <w:style w:type="paragraph" w:customStyle="1" w:styleId="DokumentArt">
    <w:name w:val="DokumentArt"/>
    <w:basedOn w:val="Normal"/>
    <w:pPr>
      <w:framePr w:hSpace="142" w:wrap="around" w:vAnchor="page" w:hAnchor="page" w:x="1419" w:y="1589" w:anchorLock="1"/>
      <w:tabs>
        <w:tab w:val="clear" w:pos="425"/>
        <w:tab w:val="clear" w:pos="851"/>
      </w:tabs>
      <w:jc w:val="left"/>
    </w:pPr>
    <w:rPr>
      <w:sz w:val="20"/>
    </w:rPr>
  </w:style>
  <w:style w:type="paragraph" w:customStyle="1" w:styleId="ARFAdr">
    <w:name w:val="ARF_Adr"/>
    <w:pPr>
      <w:framePr w:w="2359" w:h="1701" w:hSpace="142" w:wrap="around" w:vAnchor="page" w:hAnchor="page" w:x="9385" w:y="14686" w:anchorLock="1"/>
      <w:spacing w:line="240" w:lineRule="exact"/>
    </w:pPr>
    <w:rPr>
      <w:rFonts w:ascii="Boregu" w:hAnsi="Boregu"/>
      <w:noProof/>
      <w:sz w:val="16"/>
    </w:rPr>
  </w:style>
  <w:style w:type="paragraph" w:styleId="Sidehoved">
    <w:name w:val="header"/>
    <w:basedOn w:val="Normal"/>
    <w:pPr>
      <w:tabs>
        <w:tab w:val="clear" w:pos="425"/>
        <w:tab w:val="clear" w:pos="851"/>
        <w:tab w:val="center" w:pos="4819"/>
        <w:tab w:val="right" w:pos="9638"/>
      </w:tabs>
    </w:pPr>
  </w:style>
  <w:style w:type="paragraph" w:styleId="Sidefod">
    <w:name w:val="footer"/>
    <w:basedOn w:val="Normal"/>
    <w:pPr>
      <w:tabs>
        <w:tab w:val="clear" w:pos="425"/>
        <w:tab w:val="clear" w:pos="851"/>
        <w:tab w:val="center" w:pos="4819"/>
        <w:tab w:val="right" w:pos="9638"/>
      </w:tabs>
    </w:pPr>
  </w:style>
  <w:style w:type="paragraph" w:customStyle="1" w:styleId="Sidenr">
    <w:name w:val="Sidenr"/>
    <w:basedOn w:val="Brevdata"/>
    <w:next w:val="Normal"/>
    <w:pPr>
      <w:framePr w:wrap="around" w:y="2269"/>
    </w:pPr>
  </w:style>
  <w:style w:type="paragraph" w:customStyle="1" w:styleId="Logo">
    <w:name w:val="Logo"/>
    <w:basedOn w:val="Brevdata"/>
    <w:pPr>
      <w:framePr w:wrap="around" w:x="9385" w:y="4259"/>
      <w:spacing w:line="240" w:lineRule="auto"/>
    </w:pPr>
    <w:rPr>
      <w:sz w:val="16"/>
    </w:rPr>
  </w:style>
  <w:style w:type="paragraph" w:customStyle="1" w:styleId="AfrUK">
    <w:name w:val="Afr_UK"/>
    <w:basedOn w:val="Normal"/>
    <w:pPr>
      <w:framePr w:w="2217" w:h="709" w:hSpace="142" w:wrap="around" w:vAnchor="page" w:hAnchor="page" w:x="9357" w:y="2666" w:anchorLock="1"/>
      <w:spacing w:line="240" w:lineRule="exact"/>
    </w:pPr>
    <w:rPr>
      <w:rFonts w:ascii="Bobold" w:hAnsi="Bobold"/>
      <w:sz w:val="16"/>
    </w:rPr>
  </w:style>
  <w:style w:type="paragraph" w:styleId="Indholdsfortegnelse1">
    <w:name w:val="toc 1"/>
    <w:basedOn w:val="Normal"/>
    <w:next w:val="Normal"/>
    <w:autoRedefine/>
    <w:semiHidden/>
    <w:pPr>
      <w:spacing w:line="240" w:lineRule="auto"/>
      <w:ind w:left="425" w:hanging="425"/>
      <w:outlineLvl w:val="0"/>
    </w:pPr>
    <w:rPr>
      <w:noProof/>
      <w:kern w:val="24"/>
    </w:rPr>
  </w:style>
  <w:style w:type="paragraph" w:customStyle="1" w:styleId="Afkrydsning">
    <w:name w:val="Afkrydsning"/>
    <w:basedOn w:val="Normal"/>
    <w:pPr>
      <w:framePr w:w="2268" w:h="1701" w:hSpace="142" w:wrap="around" w:vAnchor="page" w:hAnchor="page" w:x="9385" w:y="6153" w:anchorLock="1"/>
      <w:tabs>
        <w:tab w:val="clear" w:pos="425"/>
        <w:tab w:val="clear" w:pos="851"/>
        <w:tab w:val="left" w:pos="284"/>
      </w:tabs>
      <w:jc w:val="left"/>
    </w:pPr>
    <w:rPr>
      <w:sz w:val="18"/>
    </w:rPr>
  </w:style>
  <w:style w:type="paragraph" w:styleId="Kommentartekst">
    <w:name w:val="annotation text"/>
    <w:basedOn w:val="Normal"/>
    <w:link w:val="KommentartekstTegn"/>
    <w:uiPriority w:val="99"/>
    <w:unhideWhenUsed/>
    <w:rsid w:val="004115BC"/>
    <w:pPr>
      <w:tabs>
        <w:tab w:val="clear" w:pos="425"/>
        <w:tab w:val="clear" w:pos="851"/>
        <w:tab w:val="clear" w:pos="1276"/>
      </w:tabs>
      <w:spacing w:after="160" w:line="240" w:lineRule="auto"/>
      <w:jc w:val="left"/>
    </w:pPr>
    <w:rPr>
      <w:rFonts w:ascii="Calibri" w:eastAsia="Calibri" w:hAnsi="Calibri"/>
      <w:sz w:val="20"/>
      <w:lang w:eastAsia="en-US"/>
    </w:rPr>
  </w:style>
  <w:style w:type="character" w:customStyle="1" w:styleId="KommentartekstTegn">
    <w:name w:val="Kommentartekst Tegn"/>
    <w:link w:val="Kommentartekst"/>
    <w:uiPriority w:val="99"/>
    <w:rsid w:val="004115BC"/>
    <w:rPr>
      <w:rFonts w:ascii="Calibri" w:eastAsia="Calibri" w:hAnsi="Calibri"/>
      <w:lang w:eastAsia="en-US"/>
    </w:rPr>
  </w:style>
  <w:style w:type="paragraph" w:customStyle="1" w:styleId="Default">
    <w:name w:val="Default"/>
    <w:rsid w:val="004115BC"/>
    <w:pPr>
      <w:autoSpaceDE w:val="0"/>
      <w:autoSpaceDN w:val="0"/>
      <w:adjustRightInd w:val="0"/>
    </w:pPr>
    <w:rPr>
      <w:rFonts w:ascii="Calibri" w:eastAsia="Calibri" w:hAnsi="Calibri" w:cs="Calibri"/>
      <w:color w:val="000000"/>
      <w:sz w:val="24"/>
      <w:szCs w:val="24"/>
      <w:lang w:eastAsia="en-US"/>
    </w:rPr>
  </w:style>
  <w:style w:type="character" w:styleId="Kommentarhenvisning">
    <w:name w:val="annotation reference"/>
    <w:uiPriority w:val="99"/>
    <w:unhideWhenUsed/>
    <w:rsid w:val="004115BC"/>
    <w:rPr>
      <w:sz w:val="16"/>
      <w:szCs w:val="16"/>
    </w:rPr>
  </w:style>
  <w:style w:type="paragraph" w:styleId="Markeringsbobletekst">
    <w:name w:val="Balloon Text"/>
    <w:basedOn w:val="Normal"/>
    <w:link w:val="MarkeringsbobletekstTegn"/>
    <w:rsid w:val="004115BC"/>
    <w:pPr>
      <w:spacing w:line="240" w:lineRule="auto"/>
    </w:pPr>
    <w:rPr>
      <w:rFonts w:ascii="Tahoma" w:hAnsi="Tahoma" w:cs="Tahoma"/>
      <w:sz w:val="16"/>
      <w:szCs w:val="16"/>
    </w:rPr>
  </w:style>
  <w:style w:type="character" w:customStyle="1" w:styleId="MarkeringsbobletekstTegn">
    <w:name w:val="Markeringsbobletekst Tegn"/>
    <w:link w:val="Markeringsbobletekst"/>
    <w:rsid w:val="004115BC"/>
    <w:rPr>
      <w:rFonts w:ascii="Tahoma" w:hAnsi="Tahoma" w:cs="Tahoma"/>
      <w:sz w:val="16"/>
      <w:szCs w:val="16"/>
    </w:rPr>
  </w:style>
  <w:style w:type="paragraph" w:styleId="Kommentaremne">
    <w:name w:val="annotation subject"/>
    <w:basedOn w:val="Kommentartekst"/>
    <w:next w:val="Kommentartekst"/>
    <w:link w:val="KommentaremneTegn"/>
    <w:rsid w:val="00180FCE"/>
    <w:pPr>
      <w:tabs>
        <w:tab w:val="left" w:pos="425"/>
        <w:tab w:val="left" w:pos="851"/>
        <w:tab w:val="left" w:pos="1276"/>
      </w:tabs>
      <w:spacing w:after="0" w:line="320" w:lineRule="atLeast"/>
      <w:jc w:val="both"/>
    </w:pPr>
    <w:rPr>
      <w:rFonts w:ascii="Times New Roman" w:eastAsia="Times New Roman" w:hAnsi="Times New Roman"/>
      <w:b/>
      <w:bCs/>
      <w:lang w:eastAsia="da-DK"/>
    </w:rPr>
  </w:style>
  <w:style w:type="character" w:customStyle="1" w:styleId="KommentaremneTegn">
    <w:name w:val="Kommentaremne Tegn"/>
    <w:link w:val="Kommentaremne"/>
    <w:rsid w:val="00180FCE"/>
    <w:rPr>
      <w:rFonts w:ascii="Calibri" w:eastAsia="Calibri" w:hAnsi="Calibri"/>
      <w:b/>
      <w:bCs/>
      <w:lang w:eastAsia="en-US"/>
    </w:rPr>
  </w:style>
  <w:style w:type="paragraph" w:styleId="NormalWeb">
    <w:name w:val="Normal (Web)"/>
    <w:basedOn w:val="Normal"/>
    <w:uiPriority w:val="99"/>
    <w:rsid w:val="00AC5745"/>
    <w:pPr>
      <w:jc w:val="left"/>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 w:val="left" w:pos="851"/>
        <w:tab w:val="left" w:pos="1276"/>
      </w:tabs>
      <w:spacing w:line="320" w:lineRule="atLeast"/>
      <w:jc w:val="both"/>
    </w:pPr>
    <w:rPr>
      <w:sz w:val="24"/>
    </w:rPr>
  </w:style>
  <w:style w:type="paragraph" w:styleId="Overskrift1">
    <w:name w:val="heading 1"/>
    <w:basedOn w:val="Normal"/>
    <w:next w:val="Normal"/>
    <w:qFormat/>
    <w:pPr>
      <w:keepNext/>
      <w:numPr>
        <w:numId w:val="5"/>
      </w:numPr>
      <w:tabs>
        <w:tab w:val="clear" w:pos="425"/>
        <w:tab w:val="left" w:pos="567"/>
      </w:tabs>
      <w:spacing w:after="120" w:line="240" w:lineRule="auto"/>
      <w:jc w:val="left"/>
      <w:outlineLvl w:val="0"/>
    </w:pPr>
    <w:rPr>
      <w:b/>
      <w:kern w:val="24"/>
    </w:rPr>
  </w:style>
  <w:style w:type="paragraph" w:styleId="Overskrift2">
    <w:name w:val="heading 2"/>
    <w:basedOn w:val="Normal"/>
    <w:next w:val="Normal"/>
    <w:qFormat/>
    <w:pPr>
      <w:keepNext/>
      <w:jc w:val="left"/>
      <w:outlineLvl w:val="1"/>
    </w:pPr>
    <w:rPr>
      <w:b/>
    </w:rPr>
  </w:style>
  <w:style w:type="paragraph" w:styleId="Overskrift3">
    <w:name w:val="heading 3"/>
    <w:basedOn w:val="Normal"/>
    <w:next w:val="Normal"/>
    <w:qFormat/>
    <w:pPr>
      <w:keepNext/>
      <w:jc w:val="left"/>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data">
    <w:name w:val="Brev data"/>
    <w:basedOn w:val="Normal"/>
    <w:pPr>
      <w:framePr w:w="2438" w:hSpace="142" w:wrap="around" w:vAnchor="page" w:hAnchor="page" w:x="9357" w:y="4225" w:anchorLock="1"/>
      <w:jc w:val="left"/>
    </w:pPr>
    <w:rPr>
      <w:sz w:val="18"/>
    </w:rPr>
  </w:style>
  <w:style w:type="paragraph" w:customStyle="1" w:styleId="Signatur">
    <w:name w:val="Signatur"/>
    <w:basedOn w:val="Normal"/>
    <w:pPr>
      <w:framePr w:w="6804" w:hSpace="142" w:wrap="around" w:vAnchor="text" w:hAnchor="page" w:x="1419" w:y="568"/>
      <w:tabs>
        <w:tab w:val="clear" w:pos="425"/>
        <w:tab w:val="clear" w:pos="851"/>
        <w:tab w:val="left" w:pos="3572"/>
      </w:tabs>
      <w:jc w:val="left"/>
    </w:pPr>
    <w:rPr>
      <w:lang w:val="en-GB"/>
    </w:rPr>
  </w:style>
  <w:style w:type="paragraph" w:customStyle="1" w:styleId="Brevsti">
    <w:name w:val="Brevsti"/>
    <w:basedOn w:val="Normal"/>
    <w:pPr>
      <w:framePr w:hSpace="142" w:wrap="notBeside" w:vAnchor="page" w:hAnchor="page" w:x="1419" w:y="15877" w:anchorLock="1"/>
    </w:pPr>
    <w:rPr>
      <w:sz w:val="12"/>
    </w:rPr>
  </w:style>
  <w:style w:type="paragraph" w:customStyle="1" w:styleId="Adresse">
    <w:name w:val="Adresse"/>
    <w:basedOn w:val="Normal"/>
    <w:pPr>
      <w:tabs>
        <w:tab w:val="clear" w:pos="425"/>
        <w:tab w:val="clear" w:pos="851"/>
        <w:tab w:val="clear" w:pos="1276"/>
        <w:tab w:val="left" w:pos="1134"/>
        <w:tab w:val="left" w:pos="1644"/>
        <w:tab w:val="left" w:pos="2438"/>
      </w:tabs>
      <w:spacing w:after="160"/>
      <w:jc w:val="left"/>
    </w:pPr>
    <w:rPr>
      <w:sz w:val="18"/>
    </w:rPr>
  </w:style>
  <w:style w:type="paragraph" w:customStyle="1" w:styleId="Vedr">
    <w:name w:val="Vedr"/>
    <w:basedOn w:val="Normal"/>
    <w:next w:val="Normal"/>
    <w:pPr>
      <w:jc w:val="left"/>
    </w:pPr>
    <w:rPr>
      <w:b/>
    </w:rPr>
  </w:style>
  <w:style w:type="paragraph" w:customStyle="1" w:styleId="DokumentArt">
    <w:name w:val="DokumentArt"/>
    <w:basedOn w:val="Normal"/>
    <w:pPr>
      <w:framePr w:hSpace="142" w:wrap="around" w:vAnchor="page" w:hAnchor="page" w:x="1419" w:y="1589" w:anchorLock="1"/>
      <w:tabs>
        <w:tab w:val="clear" w:pos="425"/>
        <w:tab w:val="clear" w:pos="851"/>
      </w:tabs>
      <w:jc w:val="left"/>
    </w:pPr>
    <w:rPr>
      <w:sz w:val="20"/>
    </w:rPr>
  </w:style>
  <w:style w:type="paragraph" w:customStyle="1" w:styleId="ARFAdr">
    <w:name w:val="ARF_Adr"/>
    <w:pPr>
      <w:framePr w:w="2359" w:h="1701" w:hSpace="142" w:wrap="around" w:vAnchor="page" w:hAnchor="page" w:x="9385" w:y="14686" w:anchorLock="1"/>
      <w:spacing w:line="240" w:lineRule="exact"/>
    </w:pPr>
    <w:rPr>
      <w:rFonts w:ascii="Boregu" w:hAnsi="Boregu"/>
      <w:noProof/>
      <w:sz w:val="16"/>
    </w:rPr>
  </w:style>
  <w:style w:type="paragraph" w:styleId="Sidehoved">
    <w:name w:val="header"/>
    <w:basedOn w:val="Normal"/>
    <w:pPr>
      <w:tabs>
        <w:tab w:val="clear" w:pos="425"/>
        <w:tab w:val="clear" w:pos="851"/>
        <w:tab w:val="center" w:pos="4819"/>
        <w:tab w:val="right" w:pos="9638"/>
      </w:tabs>
    </w:pPr>
  </w:style>
  <w:style w:type="paragraph" w:styleId="Sidefod">
    <w:name w:val="footer"/>
    <w:basedOn w:val="Normal"/>
    <w:pPr>
      <w:tabs>
        <w:tab w:val="clear" w:pos="425"/>
        <w:tab w:val="clear" w:pos="851"/>
        <w:tab w:val="center" w:pos="4819"/>
        <w:tab w:val="right" w:pos="9638"/>
      </w:tabs>
    </w:pPr>
  </w:style>
  <w:style w:type="paragraph" w:customStyle="1" w:styleId="Sidenr">
    <w:name w:val="Sidenr"/>
    <w:basedOn w:val="Brevdata"/>
    <w:next w:val="Normal"/>
    <w:pPr>
      <w:framePr w:wrap="around" w:y="2269"/>
    </w:pPr>
  </w:style>
  <w:style w:type="paragraph" w:customStyle="1" w:styleId="Logo">
    <w:name w:val="Logo"/>
    <w:basedOn w:val="Brevdata"/>
    <w:pPr>
      <w:framePr w:wrap="around" w:x="9385" w:y="4259"/>
      <w:spacing w:line="240" w:lineRule="auto"/>
    </w:pPr>
    <w:rPr>
      <w:sz w:val="16"/>
    </w:rPr>
  </w:style>
  <w:style w:type="paragraph" w:customStyle="1" w:styleId="AfrUK">
    <w:name w:val="Afr_UK"/>
    <w:basedOn w:val="Normal"/>
    <w:pPr>
      <w:framePr w:w="2217" w:h="709" w:hSpace="142" w:wrap="around" w:vAnchor="page" w:hAnchor="page" w:x="9357" w:y="2666" w:anchorLock="1"/>
      <w:spacing w:line="240" w:lineRule="exact"/>
    </w:pPr>
    <w:rPr>
      <w:rFonts w:ascii="Bobold" w:hAnsi="Bobold"/>
      <w:sz w:val="16"/>
    </w:rPr>
  </w:style>
  <w:style w:type="paragraph" w:styleId="Indholdsfortegnelse1">
    <w:name w:val="toc 1"/>
    <w:basedOn w:val="Normal"/>
    <w:next w:val="Normal"/>
    <w:autoRedefine/>
    <w:semiHidden/>
    <w:pPr>
      <w:spacing w:line="240" w:lineRule="auto"/>
      <w:ind w:left="425" w:hanging="425"/>
      <w:outlineLvl w:val="0"/>
    </w:pPr>
    <w:rPr>
      <w:noProof/>
      <w:kern w:val="24"/>
    </w:rPr>
  </w:style>
  <w:style w:type="paragraph" w:customStyle="1" w:styleId="Afkrydsning">
    <w:name w:val="Afkrydsning"/>
    <w:basedOn w:val="Normal"/>
    <w:pPr>
      <w:framePr w:w="2268" w:h="1701" w:hSpace="142" w:wrap="around" w:vAnchor="page" w:hAnchor="page" w:x="9385" w:y="6153" w:anchorLock="1"/>
      <w:tabs>
        <w:tab w:val="clear" w:pos="425"/>
        <w:tab w:val="clear" w:pos="851"/>
        <w:tab w:val="left" w:pos="284"/>
      </w:tabs>
      <w:jc w:val="left"/>
    </w:pPr>
    <w:rPr>
      <w:sz w:val="18"/>
    </w:rPr>
  </w:style>
  <w:style w:type="paragraph" w:styleId="Kommentartekst">
    <w:name w:val="annotation text"/>
    <w:basedOn w:val="Normal"/>
    <w:link w:val="KommentartekstTegn"/>
    <w:uiPriority w:val="99"/>
    <w:unhideWhenUsed/>
    <w:rsid w:val="004115BC"/>
    <w:pPr>
      <w:tabs>
        <w:tab w:val="clear" w:pos="425"/>
        <w:tab w:val="clear" w:pos="851"/>
        <w:tab w:val="clear" w:pos="1276"/>
      </w:tabs>
      <w:spacing w:after="160" w:line="240" w:lineRule="auto"/>
      <w:jc w:val="left"/>
    </w:pPr>
    <w:rPr>
      <w:rFonts w:ascii="Calibri" w:eastAsia="Calibri" w:hAnsi="Calibri"/>
      <w:sz w:val="20"/>
      <w:lang w:eastAsia="en-US"/>
    </w:rPr>
  </w:style>
  <w:style w:type="character" w:customStyle="1" w:styleId="KommentartekstTegn">
    <w:name w:val="Kommentartekst Tegn"/>
    <w:link w:val="Kommentartekst"/>
    <w:uiPriority w:val="99"/>
    <w:rsid w:val="004115BC"/>
    <w:rPr>
      <w:rFonts w:ascii="Calibri" w:eastAsia="Calibri" w:hAnsi="Calibri"/>
      <w:lang w:eastAsia="en-US"/>
    </w:rPr>
  </w:style>
  <w:style w:type="paragraph" w:customStyle="1" w:styleId="Default">
    <w:name w:val="Default"/>
    <w:rsid w:val="004115BC"/>
    <w:pPr>
      <w:autoSpaceDE w:val="0"/>
      <w:autoSpaceDN w:val="0"/>
      <w:adjustRightInd w:val="0"/>
    </w:pPr>
    <w:rPr>
      <w:rFonts w:ascii="Calibri" w:eastAsia="Calibri" w:hAnsi="Calibri" w:cs="Calibri"/>
      <w:color w:val="000000"/>
      <w:sz w:val="24"/>
      <w:szCs w:val="24"/>
      <w:lang w:eastAsia="en-US"/>
    </w:rPr>
  </w:style>
  <w:style w:type="character" w:styleId="Kommentarhenvisning">
    <w:name w:val="annotation reference"/>
    <w:uiPriority w:val="99"/>
    <w:unhideWhenUsed/>
    <w:rsid w:val="004115BC"/>
    <w:rPr>
      <w:sz w:val="16"/>
      <w:szCs w:val="16"/>
    </w:rPr>
  </w:style>
  <w:style w:type="paragraph" w:styleId="Markeringsbobletekst">
    <w:name w:val="Balloon Text"/>
    <w:basedOn w:val="Normal"/>
    <w:link w:val="MarkeringsbobletekstTegn"/>
    <w:rsid w:val="004115BC"/>
    <w:pPr>
      <w:spacing w:line="240" w:lineRule="auto"/>
    </w:pPr>
    <w:rPr>
      <w:rFonts w:ascii="Tahoma" w:hAnsi="Tahoma" w:cs="Tahoma"/>
      <w:sz w:val="16"/>
      <w:szCs w:val="16"/>
    </w:rPr>
  </w:style>
  <w:style w:type="character" w:customStyle="1" w:styleId="MarkeringsbobletekstTegn">
    <w:name w:val="Markeringsbobletekst Tegn"/>
    <w:link w:val="Markeringsbobletekst"/>
    <w:rsid w:val="004115BC"/>
    <w:rPr>
      <w:rFonts w:ascii="Tahoma" w:hAnsi="Tahoma" w:cs="Tahoma"/>
      <w:sz w:val="16"/>
      <w:szCs w:val="16"/>
    </w:rPr>
  </w:style>
  <w:style w:type="paragraph" w:styleId="Kommentaremne">
    <w:name w:val="annotation subject"/>
    <w:basedOn w:val="Kommentartekst"/>
    <w:next w:val="Kommentartekst"/>
    <w:link w:val="KommentaremneTegn"/>
    <w:rsid w:val="00180FCE"/>
    <w:pPr>
      <w:tabs>
        <w:tab w:val="left" w:pos="425"/>
        <w:tab w:val="left" w:pos="851"/>
        <w:tab w:val="left" w:pos="1276"/>
      </w:tabs>
      <w:spacing w:after="0" w:line="320" w:lineRule="atLeast"/>
      <w:jc w:val="both"/>
    </w:pPr>
    <w:rPr>
      <w:rFonts w:ascii="Times New Roman" w:eastAsia="Times New Roman" w:hAnsi="Times New Roman"/>
      <w:b/>
      <w:bCs/>
      <w:lang w:eastAsia="da-DK"/>
    </w:rPr>
  </w:style>
  <w:style w:type="character" w:customStyle="1" w:styleId="KommentaremneTegn">
    <w:name w:val="Kommentaremne Tegn"/>
    <w:link w:val="Kommentaremne"/>
    <w:rsid w:val="00180FCE"/>
    <w:rPr>
      <w:rFonts w:ascii="Calibri" w:eastAsia="Calibri" w:hAnsi="Calibri"/>
      <w:b/>
      <w:bCs/>
      <w:lang w:eastAsia="en-US"/>
    </w:rPr>
  </w:style>
  <w:style w:type="paragraph" w:styleId="NormalWeb">
    <w:name w:val="Normal (Web)"/>
    <w:basedOn w:val="Normal"/>
    <w:uiPriority w:val="99"/>
    <w:rsid w:val="00AC5745"/>
    <w:pPr>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2400">
      <w:bodyDiv w:val="1"/>
      <w:marLeft w:val="0"/>
      <w:marRight w:val="0"/>
      <w:marTop w:val="0"/>
      <w:marBottom w:val="0"/>
      <w:divBdr>
        <w:top w:val="none" w:sz="0" w:space="0" w:color="auto"/>
        <w:left w:val="none" w:sz="0" w:space="0" w:color="auto"/>
        <w:bottom w:val="none" w:sz="0" w:space="0" w:color="auto"/>
        <w:right w:val="none" w:sz="0" w:space="0" w:color="auto"/>
      </w:divBdr>
    </w:div>
    <w:div w:id="19291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415F-4BFA-4C6B-A3AD-6E309E5A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18580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ARF Notat sbabelon</vt:lpstr>
    </vt:vector>
  </TitlesOfParts>
  <Company>Amtsrådsforeningen</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 Notat sbabelon</dc:title>
  <dc:subject>J.nr.</dc:subject>
  <dc:creator>Thomas Birk Andersen,TAD</dc:creator>
  <cp:keywords>N O T A T</cp:keywords>
  <dc:description>Til: EDBGpt:</dc:description>
  <cp:lastModifiedBy>Louise Madsen</cp:lastModifiedBy>
  <cp:revision>2</cp:revision>
  <cp:lastPrinted>2016-11-10T10:27:00Z</cp:lastPrinted>
  <dcterms:created xsi:type="dcterms:W3CDTF">2016-12-05T11:50:00Z</dcterms:created>
  <dcterms:modified xsi:type="dcterms:W3CDTF">2016-12-05T11:50:00Z</dcterms:modified>
</cp:coreProperties>
</file>